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7F3834" w:rsidRPr="001F127D" w14:paraId="1955C848" w14:textId="77777777" w:rsidTr="007F3834">
        <w:tc>
          <w:tcPr>
            <w:tcW w:w="4606" w:type="dxa"/>
          </w:tcPr>
          <w:p w14:paraId="4A22E41E" w14:textId="0A2731DA" w:rsidR="007F3834" w:rsidRPr="004C697E" w:rsidRDefault="007F3834" w:rsidP="004C697E">
            <w:pPr>
              <w:tabs>
                <w:tab w:val="left" w:pos="2279"/>
              </w:tabs>
              <w:rPr>
                <w:sz w:val="24"/>
              </w:rPr>
            </w:pPr>
            <w:r w:rsidRPr="004C697E">
              <w:t>Praha 5. ledna 2021</w:t>
            </w:r>
            <w:r w:rsidR="004C697E" w:rsidRPr="004C697E">
              <w:tab/>
            </w:r>
          </w:p>
        </w:tc>
        <w:tc>
          <w:tcPr>
            <w:tcW w:w="4606" w:type="dxa"/>
          </w:tcPr>
          <w:p w14:paraId="37963AAD" w14:textId="38FE2D93" w:rsidR="007F3834" w:rsidRPr="004C697E" w:rsidRDefault="004C697E" w:rsidP="004C697E">
            <w:pPr>
              <w:ind w:left="2832"/>
            </w:pPr>
            <w:r w:rsidRPr="004C697E">
              <w:t xml:space="preserve">      </w:t>
            </w:r>
            <w:r w:rsidR="007F3834" w:rsidRPr="004C697E">
              <w:t>Přílohy:</w:t>
            </w:r>
            <w:r w:rsidR="00FE24D9" w:rsidRPr="004C697E">
              <w:t xml:space="preserve"> </w:t>
            </w:r>
            <w:r w:rsidR="00274CB5" w:rsidRPr="004C697E">
              <w:t>5</w:t>
            </w:r>
          </w:p>
        </w:tc>
      </w:tr>
    </w:tbl>
    <w:p w14:paraId="0AF125EF" w14:textId="33363A0A" w:rsidR="007F3834" w:rsidRPr="001F127D" w:rsidRDefault="007F3834" w:rsidP="001F127D"/>
    <w:p w14:paraId="60490901" w14:textId="77777777" w:rsidR="00462156" w:rsidRPr="001F127D" w:rsidRDefault="00462156" w:rsidP="001F127D"/>
    <w:p w14:paraId="6CEB5AA1" w14:textId="77777777" w:rsidR="00462156" w:rsidRPr="001F127D" w:rsidRDefault="00462156" w:rsidP="001F127D"/>
    <w:p w14:paraId="1C00C894" w14:textId="77777777" w:rsidR="00462156" w:rsidRPr="001F127D" w:rsidRDefault="00462156" w:rsidP="001F127D"/>
    <w:p w14:paraId="651B936E" w14:textId="77777777" w:rsidR="00462156" w:rsidRPr="001F127D" w:rsidRDefault="00462156" w:rsidP="001F127D"/>
    <w:p w14:paraId="6DF3CF9B" w14:textId="77777777" w:rsidR="00462156" w:rsidRPr="001F127D" w:rsidRDefault="00462156" w:rsidP="001F127D"/>
    <w:p w14:paraId="3D7055AF" w14:textId="77777777" w:rsidR="00462156" w:rsidRDefault="00462156" w:rsidP="001F127D">
      <w:pPr>
        <w:rPr>
          <w:b/>
          <w:sz w:val="52"/>
        </w:rPr>
      </w:pPr>
    </w:p>
    <w:p w14:paraId="0045861D" w14:textId="77777777" w:rsidR="004C697E" w:rsidRDefault="004C697E" w:rsidP="001F127D">
      <w:pPr>
        <w:rPr>
          <w:b/>
          <w:sz w:val="52"/>
        </w:rPr>
      </w:pPr>
    </w:p>
    <w:p w14:paraId="0636A45C" w14:textId="77777777" w:rsidR="004C697E" w:rsidRPr="004C697E" w:rsidRDefault="004C697E" w:rsidP="001F127D">
      <w:pPr>
        <w:rPr>
          <w:b/>
          <w:sz w:val="52"/>
        </w:rPr>
      </w:pPr>
    </w:p>
    <w:p w14:paraId="1993F577" w14:textId="35710BD7" w:rsidR="003B4596" w:rsidRPr="004C697E" w:rsidRDefault="003B4596" w:rsidP="004C697E">
      <w:pPr>
        <w:jc w:val="center"/>
        <w:rPr>
          <w:b/>
          <w:sz w:val="48"/>
        </w:rPr>
      </w:pPr>
      <w:r w:rsidRPr="004C697E">
        <w:rPr>
          <w:b/>
          <w:sz w:val="48"/>
        </w:rPr>
        <w:t>Meto</w:t>
      </w:r>
      <w:r w:rsidR="001F127D" w:rsidRPr="004C697E">
        <w:rPr>
          <w:b/>
          <w:sz w:val="48"/>
        </w:rPr>
        <w:t>dický pokyn pro očkovací kampaň</w:t>
      </w:r>
      <w:r w:rsidRPr="004C697E">
        <w:rPr>
          <w:b/>
          <w:sz w:val="48"/>
        </w:rPr>
        <w:br/>
        <w:t>Plán provedení</w:t>
      </w:r>
    </w:p>
    <w:p w14:paraId="5C3C965E" w14:textId="77777777" w:rsidR="00462156" w:rsidRPr="004C697E" w:rsidRDefault="00462156" w:rsidP="001F127D">
      <w:pPr>
        <w:rPr>
          <w:b/>
          <w:sz w:val="52"/>
        </w:rPr>
      </w:pPr>
    </w:p>
    <w:p w14:paraId="101088C3" w14:textId="77777777" w:rsidR="00462156" w:rsidRPr="001F127D" w:rsidRDefault="00462156" w:rsidP="001F127D"/>
    <w:p w14:paraId="655B6506" w14:textId="77777777" w:rsidR="00462156" w:rsidRPr="001F127D" w:rsidRDefault="00462156" w:rsidP="001F127D"/>
    <w:p w14:paraId="7E3F7C41" w14:textId="77777777" w:rsidR="00462156" w:rsidRPr="001F127D" w:rsidRDefault="00462156" w:rsidP="001F127D"/>
    <w:p w14:paraId="648ECB16" w14:textId="77777777" w:rsidR="00462156" w:rsidRPr="001F127D" w:rsidRDefault="00462156" w:rsidP="001F127D"/>
    <w:p w14:paraId="55120666" w14:textId="77777777" w:rsidR="00462156" w:rsidRPr="001F127D" w:rsidRDefault="00462156" w:rsidP="001F127D"/>
    <w:p w14:paraId="2F8C571D" w14:textId="77777777" w:rsidR="00462156" w:rsidRPr="001F127D" w:rsidRDefault="00462156" w:rsidP="001F127D"/>
    <w:p w14:paraId="35F6C821" w14:textId="77777777" w:rsidR="00462156" w:rsidRPr="004C697E" w:rsidRDefault="00462156" w:rsidP="004C697E">
      <w:pPr>
        <w:jc w:val="center"/>
        <w:rPr>
          <w:b/>
          <w:sz w:val="24"/>
        </w:rPr>
      </w:pPr>
    </w:p>
    <w:p w14:paraId="57687699" w14:textId="77777777" w:rsidR="007F3834" w:rsidRPr="004C697E" w:rsidRDefault="00462156" w:rsidP="004C697E">
      <w:pPr>
        <w:jc w:val="center"/>
        <w:rPr>
          <w:b/>
          <w:sz w:val="24"/>
        </w:rPr>
        <w:sectPr w:rsidR="007F3834" w:rsidRPr="004C697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C697E">
        <w:rPr>
          <w:b/>
          <w:sz w:val="24"/>
        </w:rPr>
        <w:t>Praha 2021</w:t>
      </w:r>
    </w:p>
    <w:p w14:paraId="5D9AB8E7" w14:textId="77777777" w:rsidR="003B4596" w:rsidRPr="001F127D" w:rsidRDefault="003B4596" w:rsidP="001F127D">
      <w:pPr>
        <w:pStyle w:val="Nadpis1"/>
        <w:ind w:left="284" w:hanging="284"/>
      </w:pPr>
      <w:r w:rsidRPr="001F127D">
        <w:lastRenderedPageBreak/>
        <w:t>Situace</w:t>
      </w:r>
    </w:p>
    <w:p w14:paraId="13B45049" w14:textId="77777777" w:rsidR="003B4596" w:rsidRPr="001F127D" w:rsidRDefault="003B4596" w:rsidP="001F127D">
      <w:pPr>
        <w:pStyle w:val="Nadpis2"/>
      </w:pPr>
      <w:r w:rsidRPr="001F127D">
        <w:t>Všeobecná situace</w:t>
      </w:r>
    </w:p>
    <w:p w14:paraId="0778B63F" w14:textId="044FF686" w:rsidR="003B4596" w:rsidRPr="001F127D" w:rsidRDefault="003B4596" w:rsidP="001F127D">
      <w:r w:rsidRPr="001F127D">
        <w:t xml:space="preserve">Z </w:t>
      </w:r>
      <w:r w:rsidRPr="001F127D">
        <w:rPr>
          <w:rFonts w:cstheme="minorBidi"/>
          <w:lang w:bidi="ar-SA"/>
        </w:rPr>
        <w:t>důvodu</w:t>
      </w:r>
      <w:r w:rsidRPr="001F127D">
        <w:t xml:space="preserve"> krizového vývoje </w:t>
      </w:r>
      <w:r w:rsidR="009A4810" w:rsidRPr="001F127D">
        <w:t xml:space="preserve">epidemické </w:t>
      </w:r>
      <w:r w:rsidRPr="001F127D">
        <w:t xml:space="preserve">situace na území České republiky spojené s výskytem </w:t>
      </w:r>
      <w:proofErr w:type="spellStart"/>
      <w:r w:rsidRPr="001F127D">
        <w:t>koronaviru</w:t>
      </w:r>
      <w:proofErr w:type="spellEnd"/>
      <w:r w:rsidRPr="001F127D">
        <w:t xml:space="preserve"> SARS-CoV-2, který vyvolává onemocnění COVID-19, bylo rozhodnuto o </w:t>
      </w:r>
      <w:r w:rsidR="00A21ED9" w:rsidRPr="001F127D">
        <w:t xml:space="preserve">plošném dobrovolném </w:t>
      </w:r>
      <w:r w:rsidRPr="001F127D">
        <w:t xml:space="preserve">očkování obyvatelstva České republiky proti COVID-19, </w:t>
      </w:r>
      <w:r w:rsidR="009A4810" w:rsidRPr="001F127D">
        <w:t xml:space="preserve">protože </w:t>
      </w:r>
      <w:r w:rsidRPr="001F127D">
        <w:t xml:space="preserve">právě očkování </w:t>
      </w:r>
      <w:r w:rsidR="009B7AA0" w:rsidRPr="001F127D">
        <w:t>je</w:t>
      </w:r>
      <w:r w:rsidRPr="001F127D">
        <w:t xml:space="preserve"> nejúčinnějším nástrojem kontroly pandemie onemocnění COVID-19.</w:t>
      </w:r>
    </w:p>
    <w:p w14:paraId="3CF44B6E" w14:textId="77777777" w:rsidR="003B4596" w:rsidRPr="001F127D" w:rsidRDefault="003B4596" w:rsidP="001F127D">
      <w:pPr>
        <w:pStyle w:val="Nadpis2"/>
      </w:pPr>
      <w:r w:rsidRPr="001F127D">
        <w:t>Strategická východiska</w:t>
      </w:r>
    </w:p>
    <w:p w14:paraId="4E8C50BC" w14:textId="06BADDC6" w:rsidR="003C44D8" w:rsidRPr="001F127D" w:rsidRDefault="00274CB5" w:rsidP="001F127D">
      <w:pPr>
        <w:pStyle w:val="Odstavecseseznamem"/>
        <w:numPr>
          <w:ilvl w:val="0"/>
          <w:numId w:val="1"/>
        </w:numPr>
      </w:pPr>
      <w:r w:rsidRPr="001F127D">
        <w:t>O</w:t>
      </w:r>
      <w:r w:rsidR="003B4596" w:rsidRPr="001F127D">
        <w:t xml:space="preserve">dkaz na úkol </w:t>
      </w:r>
      <w:r w:rsidR="001F127D">
        <w:t>z rady vlády ze dne 4. 12. 2020</w:t>
      </w:r>
    </w:p>
    <w:p w14:paraId="7A465DA9" w14:textId="0C11BCC9" w:rsidR="003B4596" w:rsidRPr="001F127D" w:rsidRDefault="003B4596" w:rsidP="001F127D">
      <w:pPr>
        <w:pStyle w:val="Odstavecseseznamem"/>
        <w:numPr>
          <w:ilvl w:val="0"/>
          <w:numId w:val="1"/>
        </w:numPr>
      </w:pPr>
      <w:r w:rsidRPr="001F127D">
        <w:t xml:space="preserve">Strategie očkování </w:t>
      </w:r>
      <w:r w:rsidR="00071377" w:rsidRPr="001F127D">
        <w:t>(</w:t>
      </w:r>
      <w:r w:rsidRPr="001F127D">
        <w:t>vzata na vědomí vládou ČR 7. 12. 2020 – aktualizována 22. 12. 2020</w:t>
      </w:r>
      <w:r w:rsidR="00071377" w:rsidRPr="001F127D">
        <w:t>)</w:t>
      </w:r>
    </w:p>
    <w:p w14:paraId="18030E49" w14:textId="2E820134" w:rsidR="00274CB5" w:rsidRPr="001F127D" w:rsidRDefault="003B4596" w:rsidP="001F127D">
      <w:pPr>
        <w:pStyle w:val="Odstavecseseznamem"/>
        <w:numPr>
          <w:ilvl w:val="0"/>
          <w:numId w:val="1"/>
        </w:numPr>
      </w:pPr>
      <w:r w:rsidRPr="001F127D">
        <w:t>Metodický pokyn – plán provedení očkování</w:t>
      </w:r>
    </w:p>
    <w:p w14:paraId="18BC7F8C" w14:textId="02F20F27" w:rsidR="00274CB5" w:rsidRPr="001F127D" w:rsidRDefault="00274CB5" w:rsidP="001F127D">
      <w:pPr>
        <w:pStyle w:val="Odstavecseseznamem"/>
        <w:numPr>
          <w:ilvl w:val="0"/>
          <w:numId w:val="1"/>
        </w:numPr>
      </w:pPr>
      <w:r w:rsidRPr="001F127D">
        <w:t xml:space="preserve">NV </w:t>
      </w:r>
      <w:r w:rsidR="00674FB3" w:rsidRPr="001F127D">
        <w:t>–</w:t>
      </w:r>
      <w:r w:rsidR="001F127D">
        <w:t xml:space="preserve"> legalizace prioritizace skupin</w:t>
      </w:r>
    </w:p>
    <w:p w14:paraId="0FA51641" w14:textId="225FED92" w:rsidR="00274CB5" w:rsidRPr="001F127D" w:rsidRDefault="00274CB5" w:rsidP="001F127D">
      <w:pPr>
        <w:pStyle w:val="Odstavecseseznamem"/>
        <w:numPr>
          <w:ilvl w:val="0"/>
          <w:numId w:val="1"/>
        </w:numPr>
      </w:pPr>
      <w:r w:rsidRPr="001F127D">
        <w:t xml:space="preserve">MO </w:t>
      </w:r>
      <w:r w:rsidR="00674FB3" w:rsidRPr="001F127D">
        <w:t>MZ</w:t>
      </w:r>
      <w:r w:rsidR="001F127D">
        <w:t xml:space="preserve"> </w:t>
      </w:r>
      <w:r w:rsidR="00674FB3" w:rsidRPr="001F127D">
        <w:t xml:space="preserve">ČR schválené vládou ČR – zřízení CRS, povinnost pro OČM využívat CRS, povinnost k výstavbě mobilních OČM, povinnost postupovat v souladu s Metodickým pokynem pro očkovací kampaň </w:t>
      </w:r>
      <w:r w:rsidR="00342F90" w:rsidRPr="001F127D">
        <w:t xml:space="preserve">- </w:t>
      </w:r>
      <w:r w:rsidR="001F127D">
        <w:t>Plán provedení</w:t>
      </w:r>
    </w:p>
    <w:p w14:paraId="7E97CA46" w14:textId="4B4F5CCD" w:rsidR="003B4596" w:rsidRPr="001F127D" w:rsidRDefault="008209A5" w:rsidP="001F127D">
      <w:pPr>
        <w:pStyle w:val="Nadpis2"/>
      </w:pPr>
      <w:r w:rsidRPr="001F127D">
        <w:t>Cíl</w:t>
      </w:r>
    </w:p>
    <w:p w14:paraId="56417680" w14:textId="34F7CE50" w:rsidR="00350FC3" w:rsidRPr="001F127D" w:rsidRDefault="00350FC3" w:rsidP="001F127D">
      <w:r w:rsidRPr="001F127D">
        <w:t>Hlavním cílem očkovací kampaně proti COVID-19 je ochránit obyvatele ČR a </w:t>
      </w:r>
      <w:r w:rsidR="00674FB3" w:rsidRPr="001F127D">
        <w:t>omezit</w:t>
      </w:r>
      <w:r w:rsidRPr="001F127D">
        <w:t xml:space="preserve"> dalšímu šíření nákazy v populaci, a to zajištěním prevence onemocnění touto infekcí a prevence reinfekce. Pouze dlouhodobá preventivní ochrana před onemocněním dokáže zabránit vzniku dalších vln pandemie.  Tím lze dosáhnout snížení počtu úmrtí, zabránit přetížení zdravotnických zařízení, přispět k ochraně rizikových skupin obyvatelstva, zdravotnických pracovníků a ochraně klíčových složek kritické infrastruktury.</w:t>
      </w:r>
    </w:p>
    <w:p w14:paraId="21B2B24C" w14:textId="1C52A2CC" w:rsidR="008209A5" w:rsidRPr="001F127D" w:rsidRDefault="008209A5" w:rsidP="001F127D">
      <w:pPr>
        <w:pStyle w:val="Nadpis2"/>
      </w:pPr>
      <w:r w:rsidRPr="001F127D">
        <w:t>Požadovaný konečný stav</w:t>
      </w:r>
    </w:p>
    <w:p w14:paraId="2037C928" w14:textId="308AB8FE" w:rsidR="003B4596" w:rsidRPr="001F127D" w:rsidRDefault="00350FC3" w:rsidP="001F127D">
      <w:r w:rsidRPr="001F127D">
        <w:t>V rámci procesu očkování dosáhnout m</w:t>
      </w:r>
      <w:r w:rsidR="003B4596" w:rsidRPr="001F127D">
        <w:t xml:space="preserve">inimálně 60% </w:t>
      </w:r>
      <w:r w:rsidRPr="001F127D">
        <w:t xml:space="preserve">proočkovanosti </w:t>
      </w:r>
      <w:r w:rsidR="00FE24D9" w:rsidRPr="001F127D">
        <w:t xml:space="preserve">cílové </w:t>
      </w:r>
      <w:r w:rsidR="003B4596" w:rsidRPr="001F127D">
        <w:t>populace ČR</w:t>
      </w:r>
      <w:r w:rsidRPr="001F127D">
        <w:t xml:space="preserve"> </w:t>
      </w:r>
      <w:r w:rsidR="003B4596" w:rsidRPr="001F127D">
        <w:t>a tím dostat pandemii onemocnění COVID-19 pod kontrolu. Nemoc COVID-19 se stává běžným respiračním onemocněním</w:t>
      </w:r>
      <w:r w:rsidR="009A4810" w:rsidRPr="001F127D">
        <w:t xml:space="preserve">, </w:t>
      </w:r>
      <w:r w:rsidR="003C44D8" w:rsidRPr="001F127D">
        <w:t xml:space="preserve">je </w:t>
      </w:r>
      <w:r w:rsidR="009A4810" w:rsidRPr="001F127D">
        <w:t>zastaveno komunitn</w:t>
      </w:r>
      <w:r w:rsidR="003C44D8" w:rsidRPr="001F127D">
        <w:t>í</w:t>
      </w:r>
      <w:r w:rsidR="009A4810" w:rsidRPr="001F127D">
        <w:t xml:space="preserve"> šíření nemoci</w:t>
      </w:r>
      <w:r w:rsidR="003B4596" w:rsidRPr="001F127D">
        <w:t xml:space="preserve"> a Česká republika se </w:t>
      </w:r>
      <w:r w:rsidR="009A4810" w:rsidRPr="001F127D">
        <w:t xml:space="preserve">postupně </w:t>
      </w:r>
      <w:r w:rsidR="003B4596" w:rsidRPr="001F127D">
        <w:t>vrací do standardního stavu bez probíhající p</w:t>
      </w:r>
      <w:r w:rsidR="009A4810" w:rsidRPr="001F127D">
        <w:t>an</w:t>
      </w:r>
      <w:r w:rsidR="003B4596" w:rsidRPr="001F127D">
        <w:t xml:space="preserve">demie a začíná postupně pracovat na nápravě škod způsobených touto </w:t>
      </w:r>
      <w:r w:rsidR="009A4810" w:rsidRPr="001F127D">
        <w:t>pan</w:t>
      </w:r>
      <w:r w:rsidR="003B4596" w:rsidRPr="001F127D">
        <w:t>demií.</w:t>
      </w:r>
    </w:p>
    <w:p w14:paraId="172CC266" w14:textId="515448DC" w:rsidR="003B4596" w:rsidRPr="001F127D" w:rsidRDefault="00FE24D9" w:rsidP="001F127D">
      <w:pPr>
        <w:pStyle w:val="Nadpis1"/>
        <w:ind w:left="284" w:hanging="284"/>
      </w:pPr>
      <w:r w:rsidRPr="001F127D">
        <w:t>Hlavní ú</w:t>
      </w:r>
      <w:r w:rsidR="003B4596" w:rsidRPr="001F127D">
        <w:t>kol</w:t>
      </w:r>
    </w:p>
    <w:p w14:paraId="07EEBE5E" w14:textId="77777777" w:rsidR="001F127D" w:rsidRDefault="009B7AA0" w:rsidP="001F127D">
      <w:r w:rsidRPr="001F127D">
        <w:t xml:space="preserve">Úkolem Ministerstva zdravotnictví </w:t>
      </w:r>
      <w:r w:rsidR="001F7242" w:rsidRPr="001F127D">
        <w:t xml:space="preserve">České republiky (MZ ČR) </w:t>
      </w:r>
      <w:r w:rsidRPr="001F127D">
        <w:t xml:space="preserve">je ve spolupráci se všemi </w:t>
      </w:r>
      <w:r w:rsidR="00FE24D9" w:rsidRPr="001F127D">
        <w:t>určenými</w:t>
      </w:r>
      <w:r w:rsidRPr="001F127D">
        <w:t xml:space="preserve"> </w:t>
      </w:r>
      <w:r w:rsidR="00FE24D9" w:rsidRPr="001F127D">
        <w:t xml:space="preserve">subjektu zapojenými do procesu očkování </w:t>
      </w:r>
      <w:r w:rsidRPr="001F127D">
        <w:t>z</w:t>
      </w:r>
      <w:r w:rsidR="003B4596" w:rsidRPr="001F127D">
        <w:t>organizovat a provést očkování obyvatelstva ČR proti onemocnění COVID-19 k dosažení požadovaného konečného stavu.</w:t>
      </w:r>
    </w:p>
    <w:p w14:paraId="0A37656C" w14:textId="5ABC6154" w:rsidR="003B4596" w:rsidRPr="001F127D" w:rsidRDefault="003B4596" w:rsidP="001F127D">
      <w:pPr>
        <w:pStyle w:val="Nadpis1"/>
        <w:ind w:left="284" w:hanging="284"/>
      </w:pPr>
      <w:r w:rsidRPr="001F127D">
        <w:t>Provedení</w:t>
      </w:r>
    </w:p>
    <w:p w14:paraId="2BDCEDD4" w14:textId="697094B6" w:rsidR="00441F26" w:rsidRPr="001F127D" w:rsidRDefault="00C45986" w:rsidP="001F127D">
      <w:pPr>
        <w:pStyle w:val="Zkladntext1"/>
      </w:pPr>
      <w:r w:rsidRPr="001F127D">
        <w:t>Vzhledem k postupným dodávkám očkovacích látek b</w:t>
      </w:r>
      <w:r w:rsidR="001F127D">
        <w:t xml:space="preserve">ude očkování probíhat ve třech </w:t>
      </w:r>
      <w:r w:rsidRPr="001F127D">
        <w:t>fázích</w:t>
      </w:r>
      <w:r w:rsidR="001F127D">
        <w:t>. J</w:t>
      </w:r>
      <w:r w:rsidRPr="001F127D">
        <w:t xml:space="preserve">e nutné stanovit časovou prioritizaci jednotlivých skupin obyvatel určených k provedení očkování. </w:t>
      </w:r>
      <w:r w:rsidR="00441F26" w:rsidRPr="001F127D">
        <w:t xml:space="preserve">Cílem </w:t>
      </w:r>
      <w:r w:rsidR="005133EB" w:rsidRPr="001F127D">
        <w:t xml:space="preserve">účelně nastavené </w:t>
      </w:r>
      <w:r w:rsidR="00441F26" w:rsidRPr="001F127D">
        <w:t xml:space="preserve">prioritizace je </w:t>
      </w:r>
      <w:r w:rsidR="005133EB" w:rsidRPr="001F127D">
        <w:t>ochránit nejrizikovější skupiny osob, určený zdravotnický personál a osoby zajišťující kritickou infrastrukturu státu.</w:t>
      </w:r>
    </w:p>
    <w:p w14:paraId="0A3A93A4" w14:textId="77777777" w:rsidR="003B4596" w:rsidRPr="001F127D" w:rsidRDefault="003B4596" w:rsidP="00FA5680">
      <w:pPr>
        <w:pStyle w:val="Nadpis2"/>
        <w:numPr>
          <w:ilvl w:val="0"/>
          <w:numId w:val="42"/>
        </w:numPr>
        <w:ind w:left="322"/>
      </w:pPr>
      <w:r w:rsidRPr="001F127D">
        <w:t>Záměr</w:t>
      </w:r>
    </w:p>
    <w:p w14:paraId="043E9EEC" w14:textId="5C4395B3" w:rsidR="003B4596" w:rsidRPr="001F127D" w:rsidRDefault="003B4596" w:rsidP="001F127D">
      <w:pPr>
        <w:pStyle w:val="Zkladntext1"/>
      </w:pPr>
      <w:r w:rsidRPr="001F127D">
        <w:t xml:space="preserve">Záměrem je připravit a provést očkování obyvatelstva ČR ve </w:t>
      </w:r>
      <w:r w:rsidR="00747BB8" w:rsidRPr="001F127D">
        <w:t>čtyřech</w:t>
      </w:r>
      <w:r w:rsidRPr="001F127D">
        <w:t xml:space="preserve"> fázích</w:t>
      </w:r>
      <w:r w:rsidR="009A4810" w:rsidRPr="001F127D">
        <w:t xml:space="preserve"> (které se mohou překrývat)</w:t>
      </w:r>
      <w:r w:rsidRPr="001F127D">
        <w:t>:</w:t>
      </w:r>
    </w:p>
    <w:p w14:paraId="71637AE1" w14:textId="77777777" w:rsidR="003B4596" w:rsidRPr="001F127D" w:rsidRDefault="003B4596" w:rsidP="001F127D">
      <w:pPr>
        <w:pStyle w:val="Odstavecseseznamem"/>
        <w:numPr>
          <w:ilvl w:val="0"/>
          <w:numId w:val="2"/>
        </w:numPr>
      </w:pPr>
      <w:r w:rsidRPr="001F127D">
        <w:rPr>
          <w:lang w:bidi="ar-SA"/>
        </w:rPr>
        <w:lastRenderedPageBreak/>
        <w:t>Přípravná</w:t>
      </w:r>
      <w:r w:rsidRPr="001F127D">
        <w:t xml:space="preserve"> fáze</w:t>
      </w:r>
    </w:p>
    <w:p w14:paraId="106DFDF5" w14:textId="77777777" w:rsidR="003B4596" w:rsidRPr="001F127D" w:rsidRDefault="003B4596" w:rsidP="001F127D">
      <w:pPr>
        <w:pStyle w:val="Zkladntext1"/>
        <w:numPr>
          <w:ilvl w:val="0"/>
          <w:numId w:val="2"/>
        </w:numPr>
      </w:pPr>
      <w:r w:rsidRPr="001F127D">
        <w:t>Fáze IA očkování nejrizikovějších skupin obyvatelstva</w:t>
      </w:r>
    </w:p>
    <w:p w14:paraId="66B448FD" w14:textId="77777777" w:rsidR="003B4596" w:rsidRPr="001F127D" w:rsidRDefault="003B4596" w:rsidP="001F127D">
      <w:pPr>
        <w:pStyle w:val="Zkladntext1"/>
        <w:numPr>
          <w:ilvl w:val="0"/>
          <w:numId w:val="2"/>
        </w:numPr>
      </w:pPr>
      <w:r w:rsidRPr="001F127D">
        <w:t>Fáze IB očkování prioritních skupin obyvatelstva</w:t>
      </w:r>
    </w:p>
    <w:p w14:paraId="2D60F976" w14:textId="6D7F8276" w:rsidR="003B4596" w:rsidRPr="001F127D" w:rsidRDefault="003B4596" w:rsidP="001F127D">
      <w:pPr>
        <w:pStyle w:val="Zkladntext1"/>
        <w:numPr>
          <w:ilvl w:val="0"/>
          <w:numId w:val="2"/>
        </w:numPr>
      </w:pPr>
      <w:r w:rsidRPr="001F127D">
        <w:t>Fáze II očkování dalších skupin obyvatelstva</w:t>
      </w:r>
    </w:p>
    <w:p w14:paraId="4FBCE7A5" w14:textId="1EFB0645" w:rsidR="005133EB" w:rsidRPr="001F127D" w:rsidRDefault="009B287E" w:rsidP="001F127D">
      <w:pPr>
        <w:pStyle w:val="Zkladntext1"/>
      </w:pPr>
      <w:r w:rsidRPr="001F127D">
        <w:t>Přesná definice fází</w:t>
      </w:r>
      <w:r w:rsidR="00290B85" w:rsidRPr="001F127D">
        <w:t xml:space="preserve"> očkování</w:t>
      </w:r>
      <w:r w:rsidRPr="001F127D">
        <w:t xml:space="preserve"> je popsána v příloze č. 1 </w:t>
      </w:r>
      <w:r w:rsidR="00747BB8" w:rsidRPr="001F127D">
        <w:t>Popis p</w:t>
      </w:r>
      <w:r w:rsidRPr="001F127D">
        <w:t>roces</w:t>
      </w:r>
      <w:r w:rsidR="00747BB8" w:rsidRPr="001F127D">
        <w:t>u</w:t>
      </w:r>
      <w:r w:rsidRPr="001F127D">
        <w:t xml:space="preserve"> očkování.</w:t>
      </w:r>
    </w:p>
    <w:p w14:paraId="468F507D" w14:textId="77777777" w:rsidR="009B287E" w:rsidRPr="001F127D" w:rsidRDefault="009B287E" w:rsidP="001F127D">
      <w:pPr>
        <w:pStyle w:val="Zkladntext1"/>
      </w:pPr>
    </w:p>
    <w:p w14:paraId="7C4EFEC0" w14:textId="77777777" w:rsidR="003B4596" w:rsidRPr="001F127D" w:rsidRDefault="003B4596" w:rsidP="00E8305F">
      <w:pPr>
        <w:pStyle w:val="Nadpis2"/>
        <w:numPr>
          <w:ilvl w:val="0"/>
          <w:numId w:val="42"/>
        </w:numPr>
        <w:ind w:left="322"/>
      </w:pPr>
      <w:r w:rsidRPr="001F127D">
        <w:t>Koncept očkování</w:t>
      </w:r>
    </w:p>
    <w:p w14:paraId="7D90189D" w14:textId="527AF295" w:rsidR="003B4596" w:rsidRPr="00E8305F" w:rsidRDefault="003B4596" w:rsidP="00E8305F">
      <w:pPr>
        <w:pStyle w:val="Nadpis3"/>
      </w:pPr>
      <w:r w:rsidRPr="00E8305F">
        <w:t>Přípravná fáze (prosinec 2020</w:t>
      </w:r>
      <w:r w:rsidR="003C3367" w:rsidRPr="00E8305F">
        <w:t>/leden 2021</w:t>
      </w:r>
      <w:r w:rsidRPr="00E8305F">
        <w:t>):</w:t>
      </w:r>
    </w:p>
    <w:p w14:paraId="5C91F83B" w14:textId="030C5D0C" w:rsidR="00BE51AA" w:rsidRPr="001F127D" w:rsidRDefault="005133EB" w:rsidP="00E8305F">
      <w:r w:rsidRPr="001F127D">
        <w:t xml:space="preserve">Během této fáze byla vytvořena </w:t>
      </w:r>
      <w:r w:rsidR="00190CE9" w:rsidRPr="001F127D">
        <w:t>Strategi</w:t>
      </w:r>
      <w:r w:rsidRPr="001F127D">
        <w:t>e</w:t>
      </w:r>
      <w:r w:rsidR="00190CE9" w:rsidRPr="001F127D">
        <w:t xml:space="preserve"> </w:t>
      </w:r>
      <w:r w:rsidRPr="001F127D">
        <w:t>očkování, která stanovuje základní rámec a výchozí podmínky procesu</w:t>
      </w:r>
      <w:r w:rsidR="00190CE9" w:rsidRPr="001F127D">
        <w:t xml:space="preserve">. </w:t>
      </w:r>
      <w:r w:rsidR="00BE51AA" w:rsidRPr="001F127D">
        <w:t xml:space="preserve">K zabezpečení realizace očkování je vytvořeno základní procesní schéma (Příloha č. 1 tohoto dokumentu), které </w:t>
      </w:r>
      <w:r w:rsidR="004139A6" w:rsidRPr="001F127D">
        <w:t>stanovuje</w:t>
      </w:r>
      <w:r w:rsidR="00BE51AA" w:rsidRPr="001F127D">
        <w:t xml:space="preserve"> klíčové aktéry procesu, jejich povinnosti</w:t>
      </w:r>
      <w:r w:rsidR="004139A6" w:rsidRPr="001F127D">
        <w:t>,</w:t>
      </w:r>
      <w:r w:rsidR="00BE51AA" w:rsidRPr="001F127D">
        <w:t xml:space="preserve"> kompetence a vzájemné </w:t>
      </w:r>
      <w:r w:rsidR="00B82746" w:rsidRPr="001F127D">
        <w:t xml:space="preserve">procesní </w:t>
      </w:r>
      <w:r w:rsidR="00BE51AA" w:rsidRPr="001F127D">
        <w:t>vazby.</w:t>
      </w:r>
    </w:p>
    <w:p w14:paraId="2D3EC74D" w14:textId="76C8B941" w:rsidR="00AB6D82" w:rsidRPr="001F127D" w:rsidRDefault="00386FD6" w:rsidP="00E8305F">
      <w:r w:rsidRPr="001F127D">
        <w:t xml:space="preserve">Zásadní </w:t>
      </w:r>
      <w:r w:rsidR="00BE51AA" w:rsidRPr="001F127D">
        <w:t>úloha</w:t>
      </w:r>
      <w:r w:rsidR="009A4810" w:rsidRPr="001F127D">
        <w:t xml:space="preserve"> </w:t>
      </w:r>
      <w:r w:rsidR="00BE51AA" w:rsidRPr="001F127D">
        <w:t>realizace</w:t>
      </w:r>
      <w:r w:rsidR="009A4810" w:rsidRPr="001F127D">
        <w:t xml:space="preserve"> očkování</w:t>
      </w:r>
      <w:r w:rsidRPr="001F127D">
        <w:t xml:space="preserve"> </w:t>
      </w:r>
      <w:r w:rsidR="00BE51AA" w:rsidRPr="001F127D">
        <w:t>leží na jednotlivých krajích a krajských</w:t>
      </w:r>
      <w:r w:rsidRPr="001F127D">
        <w:t xml:space="preserve"> koordináto</w:t>
      </w:r>
      <w:r w:rsidR="00BE51AA" w:rsidRPr="001F127D">
        <w:t>rech</w:t>
      </w:r>
      <w:r w:rsidRPr="001F127D">
        <w:t xml:space="preserve"> očkování, kteří byli jmenován</w:t>
      </w:r>
      <w:r w:rsidR="00BE51AA" w:rsidRPr="001F127D">
        <w:t>i</w:t>
      </w:r>
      <w:r w:rsidRPr="001F127D">
        <w:t xml:space="preserve"> hejtmany</w:t>
      </w:r>
      <w:r w:rsidR="00BE51AA" w:rsidRPr="001F127D">
        <w:t>, resp.</w:t>
      </w:r>
      <w:r w:rsidRPr="001F127D">
        <w:t xml:space="preserve"> primátorem Hlavního města Prahy</w:t>
      </w:r>
      <w:r w:rsidR="00251F75" w:rsidRPr="001F127D">
        <w:t xml:space="preserve"> k 30. prosinci 2020</w:t>
      </w:r>
      <w:r w:rsidRPr="001F127D">
        <w:t>.</w:t>
      </w:r>
      <w:r w:rsidR="00884365" w:rsidRPr="001F127D">
        <w:t xml:space="preserve"> </w:t>
      </w:r>
    </w:p>
    <w:p w14:paraId="6D80DCAF" w14:textId="77777777" w:rsidR="00AB6D82" w:rsidRPr="00E8305F" w:rsidRDefault="00AB6D82" w:rsidP="00E8305F">
      <w:pPr>
        <w:rPr>
          <w:b/>
        </w:rPr>
      </w:pPr>
      <w:r w:rsidRPr="00E8305F">
        <w:rPr>
          <w:b/>
        </w:rPr>
        <w:t>Přípravné činnosti</w:t>
      </w:r>
    </w:p>
    <w:p w14:paraId="1B39085F" w14:textId="7B44DF32" w:rsidR="00D732A7" w:rsidRPr="00E8305F" w:rsidRDefault="00E8305F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Pořízení očkovacích látek</w:t>
      </w:r>
    </w:p>
    <w:p w14:paraId="7602F5E2" w14:textId="398965E9" w:rsidR="00D732A7" w:rsidRPr="001F127D" w:rsidRDefault="00D732A7" w:rsidP="00E8305F">
      <w:r w:rsidRPr="001F127D">
        <w:t>Očkovací látky jsou nakupovány prostřednictvím společného postupu členských států EU. S jednotlivými výrobci vyjednává jménem členských států Evropská komise. Poté je uzavřena rámcová smlouva, na</w:t>
      </w:r>
      <w:r w:rsidR="003C44D8" w:rsidRPr="001F127D">
        <w:t xml:space="preserve"> </w:t>
      </w:r>
      <w:r w:rsidRPr="001F127D">
        <w:t>základě</w:t>
      </w:r>
      <w:r w:rsidR="003C44D8" w:rsidRPr="001F127D">
        <w:t xml:space="preserve"> </w:t>
      </w:r>
      <w:r w:rsidRPr="001F127D">
        <w:t>které</w:t>
      </w:r>
      <w:r w:rsidR="003C44D8" w:rsidRPr="001F127D">
        <w:t xml:space="preserve"> </w:t>
      </w:r>
      <w:r w:rsidR="00E13228" w:rsidRPr="001F127D">
        <w:t xml:space="preserve">mohou </w:t>
      </w:r>
      <w:r w:rsidRPr="001F127D">
        <w:t xml:space="preserve">členské státy </w:t>
      </w:r>
      <w:r w:rsidR="00E13228" w:rsidRPr="001F127D">
        <w:t>přistoupit ke smlouvě</w:t>
      </w:r>
      <w:r w:rsidRPr="001F127D">
        <w:t xml:space="preserve"> </w:t>
      </w:r>
      <w:r w:rsidR="00E13228" w:rsidRPr="001F127D">
        <w:t>o plnění nákupu a dodávek</w:t>
      </w:r>
      <w:r w:rsidRPr="001F127D">
        <w:t xml:space="preserve">. Následně si každý stát určí požadované množství dané </w:t>
      </w:r>
      <w:r w:rsidR="00F56F44" w:rsidRPr="001F127D">
        <w:t>očkovací látk</w:t>
      </w:r>
      <w:r w:rsidRPr="001F127D">
        <w:t xml:space="preserve">y. Množství </w:t>
      </w:r>
      <w:r w:rsidR="00F56F44" w:rsidRPr="001F127D">
        <w:t>očkovací látky</w:t>
      </w:r>
      <w:r w:rsidRPr="001F127D">
        <w:t xml:space="preserve"> pro celou EU je omezené, proto je dle velikost</w:t>
      </w:r>
      <w:r w:rsidR="00E13228" w:rsidRPr="001F127D">
        <w:t>i</w:t>
      </w:r>
      <w:r w:rsidRPr="001F127D">
        <w:t xml:space="preserve"> populace stanoveno maximální množství každé </w:t>
      </w:r>
      <w:r w:rsidR="00F56F44" w:rsidRPr="001F127D">
        <w:t>očkovací látk</w:t>
      </w:r>
      <w:r w:rsidRPr="001F127D">
        <w:t xml:space="preserve">y pro danou zemi. Česká republika přistoupila ke všem uzavřeným smlouvám. </w:t>
      </w:r>
    </w:p>
    <w:p w14:paraId="1DB7B3BC" w14:textId="377ECBDF" w:rsidR="009D5E8A" w:rsidRPr="001F127D" w:rsidRDefault="00F56F44" w:rsidP="00E8305F">
      <w:r w:rsidRPr="001F127D">
        <w:t>Očkovací látk</w:t>
      </w:r>
      <w:r w:rsidR="00D732A7" w:rsidRPr="001F127D">
        <w:t xml:space="preserve">y jsou výrobci (s výjimkou </w:t>
      </w:r>
      <w:r w:rsidRPr="001F127D">
        <w:t>očkovací látk</w:t>
      </w:r>
      <w:r w:rsidR="00D732A7" w:rsidRPr="001F127D">
        <w:t xml:space="preserve">y Comirnaty) dováženy na jedno předem </w:t>
      </w:r>
      <w:r w:rsidR="00E13228" w:rsidRPr="001F127D">
        <w:t xml:space="preserve">stanovené </w:t>
      </w:r>
      <w:r w:rsidR="00D732A7" w:rsidRPr="001F127D">
        <w:t xml:space="preserve">místo v ČR, které splňuje podmínky pro skladování dané </w:t>
      </w:r>
      <w:r w:rsidRPr="001F127D">
        <w:t>očkovací látk</w:t>
      </w:r>
      <w:r w:rsidR="00D732A7" w:rsidRPr="001F127D">
        <w:t>y</w:t>
      </w:r>
      <w:r w:rsidR="009D5E8A" w:rsidRPr="001F127D">
        <w:t xml:space="preserve"> a které si určí ČR</w:t>
      </w:r>
      <w:r w:rsidR="00D732A7" w:rsidRPr="001F127D">
        <w:t xml:space="preserve">. V tento okamžik </w:t>
      </w:r>
      <w:r w:rsidR="009D5E8A" w:rsidRPr="001F127D">
        <w:t>s</w:t>
      </w:r>
      <w:r w:rsidR="00EF1DAE" w:rsidRPr="001F127D">
        <w:t xml:space="preserve">e </w:t>
      </w:r>
      <w:r w:rsidRPr="001F127D">
        <w:t>očkovací látka</w:t>
      </w:r>
      <w:r w:rsidR="00EF1DAE" w:rsidRPr="001F127D">
        <w:t xml:space="preserve"> stává majetkem ČR,</w:t>
      </w:r>
      <w:r w:rsidR="003C44D8" w:rsidRPr="001F127D">
        <w:t xml:space="preserve"> </w:t>
      </w:r>
      <w:r w:rsidR="00E13228" w:rsidRPr="001F127D">
        <w:t xml:space="preserve">resp. </w:t>
      </w:r>
      <w:r w:rsidR="005C3BF8" w:rsidRPr="001F127D">
        <w:t>MZ ČR</w:t>
      </w:r>
      <w:r w:rsidR="00E13228" w:rsidRPr="001F127D">
        <w:t>.</w:t>
      </w:r>
    </w:p>
    <w:p w14:paraId="7E30DF54" w14:textId="0A0F3C9A" w:rsidR="0065352A" w:rsidRPr="00E8305F" w:rsidRDefault="0031217A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Do</w:t>
      </w:r>
      <w:r w:rsidR="009D5E8A" w:rsidRPr="00E8305F">
        <w:rPr>
          <w:b/>
          <w:u w:val="single"/>
        </w:rPr>
        <w:t>dávky</w:t>
      </w:r>
      <w:r w:rsidRPr="00E8305F">
        <w:rPr>
          <w:b/>
          <w:u w:val="single"/>
        </w:rPr>
        <w:t xml:space="preserve"> očkovacích látek do ČR</w:t>
      </w:r>
    </w:p>
    <w:p w14:paraId="00703F72" w14:textId="68226A63" w:rsidR="00B24267" w:rsidRPr="001F127D" w:rsidRDefault="005C3BF8" w:rsidP="00E8305F">
      <w:r w:rsidRPr="001F127D">
        <w:t xml:space="preserve">MZ ČR </w:t>
      </w:r>
      <w:r w:rsidR="00B24267" w:rsidRPr="001F127D">
        <w:t xml:space="preserve">v závislosti na dostupných informacích, schvalovacím procesu jednotlivých očkovací látek Evropskou agenturou pro léčivé přípravky, výrobních možnostech výrobců a další okolnostech (například případné nepředvídané výpadky) průběžně aktualizuje harmonogram </w:t>
      </w:r>
      <w:r w:rsidR="004F64F8" w:rsidRPr="001F127D">
        <w:t>distribuce</w:t>
      </w:r>
      <w:r w:rsidR="00B24267" w:rsidRPr="001F127D">
        <w:t xml:space="preserve"> jednotlivých typů očkovacích látek do České republiky. </w:t>
      </w:r>
    </w:p>
    <w:p w14:paraId="33F49CDE" w14:textId="11317E9B" w:rsidR="00DD045F" w:rsidRPr="001F127D" w:rsidRDefault="00DD045F" w:rsidP="001F127D">
      <w:pPr>
        <w:pStyle w:val="Zkladntext1"/>
      </w:pPr>
      <w:r w:rsidRPr="001F127D">
        <w:t xml:space="preserve">Harmonogram </w:t>
      </w:r>
      <w:r w:rsidR="00E8305F">
        <w:t xml:space="preserve">distribuce </w:t>
      </w:r>
      <w:r w:rsidRPr="001F127D">
        <w:t xml:space="preserve">je </w:t>
      </w:r>
      <w:r w:rsidR="00E8305F">
        <w:t>D</w:t>
      </w:r>
      <w:r w:rsidR="004F64F8" w:rsidRPr="001F127D">
        <w:t xml:space="preserve">odatkem </w:t>
      </w:r>
      <w:r w:rsidR="00E8305F">
        <w:t>3 P</w:t>
      </w:r>
      <w:r w:rsidRPr="001F127D">
        <w:t>říloh</w:t>
      </w:r>
      <w:r w:rsidR="00E8305F">
        <w:t xml:space="preserve">y </w:t>
      </w:r>
      <w:r w:rsidR="004F64F8" w:rsidRPr="001F127D">
        <w:t>2 Logistické zabezpečení</w:t>
      </w:r>
      <w:r w:rsidR="009A4810" w:rsidRPr="001F127D">
        <w:t>.</w:t>
      </w:r>
    </w:p>
    <w:p w14:paraId="4A32B429" w14:textId="7C08EF1C" w:rsidR="0065352A" w:rsidRPr="00E8305F" w:rsidRDefault="00D732A7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D</w:t>
      </w:r>
      <w:r w:rsidR="0065352A" w:rsidRPr="00E8305F">
        <w:rPr>
          <w:b/>
          <w:u w:val="single"/>
        </w:rPr>
        <w:t xml:space="preserve">istribuce </w:t>
      </w:r>
      <w:r w:rsidRPr="00E8305F">
        <w:rPr>
          <w:b/>
          <w:u w:val="single"/>
        </w:rPr>
        <w:t xml:space="preserve">a výdej </w:t>
      </w:r>
      <w:r w:rsidR="0065352A" w:rsidRPr="00E8305F">
        <w:rPr>
          <w:b/>
          <w:u w:val="single"/>
        </w:rPr>
        <w:t xml:space="preserve">očkovacích látek </w:t>
      </w:r>
      <w:r w:rsidRPr="00E8305F">
        <w:rPr>
          <w:b/>
          <w:u w:val="single"/>
        </w:rPr>
        <w:t>do očkovacích míst</w:t>
      </w:r>
    </w:p>
    <w:p w14:paraId="09AE2765" w14:textId="29527E3D" w:rsidR="00F06E96" w:rsidRPr="001F127D" w:rsidRDefault="00F06E96" w:rsidP="00E8305F">
      <w:r w:rsidRPr="001F127D">
        <w:t xml:space="preserve">Způsob distribuce se bude v jednotlivých fázích </w:t>
      </w:r>
      <w:r w:rsidR="00B24267" w:rsidRPr="001F127D">
        <w:t xml:space="preserve">očkovací kampaně </w:t>
      </w:r>
      <w:r w:rsidR="00600DAF" w:rsidRPr="001F127D">
        <w:t xml:space="preserve">lišit </w:t>
      </w:r>
      <w:r w:rsidRPr="001F127D">
        <w:t xml:space="preserve">v závislosti na počtu očkovacích míst a dostupnosti </w:t>
      </w:r>
      <w:r w:rsidR="00600DAF" w:rsidRPr="001F127D">
        <w:t xml:space="preserve">a charakteristikách </w:t>
      </w:r>
      <w:r w:rsidRPr="001F127D">
        <w:t xml:space="preserve">jednotlivých </w:t>
      </w:r>
      <w:r w:rsidR="00F56F44" w:rsidRPr="001F127D">
        <w:t>očkovací</w:t>
      </w:r>
      <w:r w:rsidR="00BB51C5" w:rsidRPr="001F127D">
        <w:t>ch</w:t>
      </w:r>
      <w:r w:rsidR="00F56F44" w:rsidRPr="001F127D">
        <w:t xml:space="preserve"> lát</w:t>
      </w:r>
      <w:r w:rsidR="00BB51C5" w:rsidRPr="001F127D">
        <w:t>e</w:t>
      </w:r>
      <w:r w:rsidR="00F56F44" w:rsidRPr="001F127D">
        <w:t>k</w:t>
      </w:r>
      <w:r w:rsidR="00600DAF" w:rsidRPr="001F127D">
        <w:t>.</w:t>
      </w:r>
      <w:r w:rsidRPr="001F127D">
        <w:t xml:space="preserve"> </w:t>
      </w:r>
      <w:r w:rsidR="00600DAF" w:rsidRPr="001F127D">
        <w:t>Podrobně je tento proces rozpracován v</w:t>
      </w:r>
      <w:r w:rsidR="00F56F44" w:rsidRPr="001F127D">
        <w:t> </w:t>
      </w:r>
      <w:r w:rsidR="00E8305F">
        <w:t>P</w:t>
      </w:r>
      <w:r w:rsidR="00600DAF" w:rsidRPr="001F127D">
        <w:t>říloze</w:t>
      </w:r>
      <w:r w:rsidR="00F56F44" w:rsidRPr="001F127D">
        <w:t xml:space="preserve"> 2</w:t>
      </w:r>
      <w:r w:rsidR="00600DAF" w:rsidRPr="001F127D">
        <w:t xml:space="preserve"> </w:t>
      </w:r>
      <w:r w:rsidRPr="001F127D">
        <w:t>Logistick</w:t>
      </w:r>
      <w:r w:rsidR="00BB51C5" w:rsidRPr="001F127D">
        <w:t>é</w:t>
      </w:r>
      <w:r w:rsidRPr="001F127D">
        <w:t xml:space="preserve"> </w:t>
      </w:r>
      <w:r w:rsidR="00BB51C5" w:rsidRPr="001F127D">
        <w:t>zabezpečení</w:t>
      </w:r>
      <w:r w:rsidR="00E8305F">
        <w:t>.</w:t>
      </w:r>
    </w:p>
    <w:p w14:paraId="2E6B4DBF" w14:textId="5A83BBF3" w:rsidR="00600DAF" w:rsidRPr="001F127D" w:rsidRDefault="00600DAF" w:rsidP="00E8305F">
      <w:r w:rsidRPr="001F127D">
        <w:lastRenderedPageBreak/>
        <w:t xml:space="preserve">Zásadně se systém distribuce liší pro první dostupnou </w:t>
      </w:r>
      <w:r w:rsidR="00F56F44" w:rsidRPr="001F127D">
        <w:t>očkovací látk</w:t>
      </w:r>
      <w:r w:rsidRPr="001F127D">
        <w:t xml:space="preserve">u od společnosti </w:t>
      </w:r>
      <w:proofErr w:type="spellStart"/>
      <w:r w:rsidRPr="001F127D">
        <w:t>Pfizer</w:t>
      </w:r>
      <w:proofErr w:type="spellEnd"/>
      <w:r w:rsidRPr="001F127D">
        <w:t>/</w:t>
      </w:r>
      <w:proofErr w:type="spellStart"/>
      <w:r w:rsidRPr="001F127D">
        <w:t>BioNTech</w:t>
      </w:r>
      <w:proofErr w:type="spellEnd"/>
      <w:r w:rsidRPr="001F127D">
        <w:t xml:space="preserve"> (</w:t>
      </w:r>
      <w:proofErr w:type="spellStart"/>
      <w:r w:rsidRPr="001F127D">
        <w:t>Comirnaty</w:t>
      </w:r>
      <w:proofErr w:type="spellEnd"/>
      <w:r w:rsidRPr="001F127D">
        <w:t xml:space="preserve">). Systém distribuce je </w:t>
      </w:r>
      <w:r w:rsidR="00F56F44" w:rsidRPr="001F127D">
        <w:t xml:space="preserve">v tomto případě pevně </w:t>
      </w:r>
      <w:r w:rsidR="00603845" w:rsidRPr="001F127D">
        <w:t xml:space="preserve">stanoven výrobcem a </w:t>
      </w:r>
      <w:r w:rsidR="00F56F44" w:rsidRPr="001F127D">
        <w:t>očkovací látk</w:t>
      </w:r>
      <w:r w:rsidRPr="001F127D">
        <w:t xml:space="preserve">a </w:t>
      </w:r>
      <w:r w:rsidR="00603845" w:rsidRPr="001F127D">
        <w:t xml:space="preserve">je dovážena </w:t>
      </w:r>
      <w:r w:rsidRPr="001F127D">
        <w:t xml:space="preserve">na 31 </w:t>
      </w:r>
      <w:r w:rsidR="00603845" w:rsidRPr="001F127D">
        <w:t xml:space="preserve">stanovených </w:t>
      </w:r>
      <w:r w:rsidR="00F56F44" w:rsidRPr="001F127D">
        <w:t>distribučních očkovacích míst</w:t>
      </w:r>
      <w:r w:rsidRPr="001F127D">
        <w:t>.</w:t>
      </w:r>
    </w:p>
    <w:p w14:paraId="3D7F8E9A" w14:textId="62AFC5DF" w:rsidR="00BB3D09" w:rsidRPr="001F127D" w:rsidRDefault="00600DAF" w:rsidP="00E8305F">
      <w:r w:rsidRPr="001F127D">
        <w:t xml:space="preserve">Ostatní </w:t>
      </w:r>
      <w:r w:rsidR="00F56F44" w:rsidRPr="001F127D">
        <w:t>očkovací látk</w:t>
      </w:r>
      <w:r w:rsidRPr="001F127D">
        <w:t xml:space="preserve">y budou </w:t>
      </w:r>
      <w:r w:rsidR="00F56F44" w:rsidRPr="001F127D">
        <w:t>po schválení</w:t>
      </w:r>
      <w:r w:rsidRPr="001F127D">
        <w:t xml:space="preserve"> </w:t>
      </w:r>
      <w:r w:rsidR="00F56F44" w:rsidRPr="001F127D">
        <w:t>k</w:t>
      </w:r>
      <w:r w:rsidRPr="001F127D">
        <w:t xml:space="preserve"> použití, dovezeny výrobcem na určené místo v České republice. Jejich distribuci do očkovacích míst bude na základě smlouvy se zdravotními pojišťovnami zajišťovat smluvní distributor (standardní distributor léčivých přípravků</w:t>
      </w:r>
      <w:r w:rsidR="00F56F44" w:rsidRPr="001F127D">
        <w:t>)</w:t>
      </w:r>
      <w:r w:rsidR="00251F75" w:rsidRPr="001F127D">
        <w:t>. Sklad</w:t>
      </w:r>
      <w:r w:rsidR="00A664FF" w:rsidRPr="001F127D">
        <w:t>y</w:t>
      </w:r>
      <w:r w:rsidR="00251F75" w:rsidRPr="001F127D">
        <w:t xml:space="preserve"> pro doručení jednotlivých </w:t>
      </w:r>
      <w:r w:rsidR="00F56F44" w:rsidRPr="001F127D">
        <w:t>očkovacích látek</w:t>
      </w:r>
      <w:r w:rsidR="00A664FF" w:rsidRPr="001F127D">
        <w:t xml:space="preserve"> budou</w:t>
      </w:r>
      <w:r w:rsidR="00251F75" w:rsidRPr="001F127D">
        <w:t xml:space="preserve"> u</w:t>
      </w:r>
      <w:r w:rsidR="00A664FF" w:rsidRPr="001F127D">
        <w:t>r</w:t>
      </w:r>
      <w:r w:rsidR="00251F75" w:rsidRPr="001F127D">
        <w:t>čen</w:t>
      </w:r>
      <w:r w:rsidR="00A664FF" w:rsidRPr="001F127D">
        <w:t>y</w:t>
      </w:r>
      <w:r w:rsidR="00251F75" w:rsidRPr="001F127D">
        <w:t xml:space="preserve"> po výběru distributor</w:t>
      </w:r>
      <w:r w:rsidR="001F7242" w:rsidRPr="001F127D">
        <w:t>ů</w:t>
      </w:r>
      <w:r w:rsidR="00251F75" w:rsidRPr="001F127D">
        <w:t>.</w:t>
      </w:r>
    </w:p>
    <w:p w14:paraId="322935CA" w14:textId="77777777" w:rsidR="0065352A" w:rsidRPr="00E8305F" w:rsidRDefault="0065352A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Příprava personálu</w:t>
      </w:r>
    </w:p>
    <w:p w14:paraId="7AD1C3D3" w14:textId="5D99F745" w:rsidR="00600DAF" w:rsidRPr="001F127D" w:rsidRDefault="005C3BF8" w:rsidP="00E8305F">
      <w:r w:rsidRPr="001F127D">
        <w:t xml:space="preserve">MZ ČR </w:t>
      </w:r>
      <w:r w:rsidR="00600DAF" w:rsidRPr="001F127D">
        <w:t>zajistí maximální dostu</w:t>
      </w:r>
      <w:r w:rsidR="007E68A0" w:rsidRPr="001F127D">
        <w:t>pnost všech edukačních materiálů</w:t>
      </w:r>
      <w:r w:rsidR="00600DAF" w:rsidRPr="001F127D">
        <w:t xml:space="preserve"> </w:t>
      </w:r>
      <w:r w:rsidR="00E4650B" w:rsidRPr="001F127D">
        <w:t xml:space="preserve">pro odborníky na </w:t>
      </w:r>
      <w:r w:rsidRPr="001F127D">
        <w:t xml:space="preserve">svém </w:t>
      </w:r>
      <w:r w:rsidR="00E4650B" w:rsidRPr="001F127D">
        <w:t>veřejně přístupném webu.</w:t>
      </w:r>
      <w:r w:rsidR="00600DAF" w:rsidRPr="001F127D">
        <w:t xml:space="preserve"> </w:t>
      </w:r>
    </w:p>
    <w:p w14:paraId="12A0F562" w14:textId="0883FEC1" w:rsidR="00E4650B" w:rsidRPr="001F127D" w:rsidRDefault="00E4650B" w:rsidP="00E8305F">
      <w:r w:rsidRPr="001F127D">
        <w:t>V oblasti distribuce a příjmu očkovacích látek probíhá výměna všech dostupných informací se Sekcí nemocničních lékárníků.</w:t>
      </w:r>
    </w:p>
    <w:p w14:paraId="4447382D" w14:textId="0E845059" w:rsidR="00E4650B" w:rsidRPr="001F127D" w:rsidRDefault="00555F8A" w:rsidP="00E8305F">
      <w:r w:rsidRPr="001F127D">
        <w:t>Tiskový odbor MZ ČR v</w:t>
      </w:r>
      <w:r w:rsidR="00E4650B" w:rsidRPr="001F127D">
        <w:t xml:space="preserve">e spolupráci s Českou </w:t>
      </w:r>
      <w:proofErr w:type="spellStart"/>
      <w:r w:rsidR="00E4650B" w:rsidRPr="001F127D">
        <w:t>vakcinologickou</w:t>
      </w:r>
      <w:proofErr w:type="spellEnd"/>
      <w:r w:rsidR="00E4650B" w:rsidRPr="001F127D">
        <w:t xml:space="preserve"> společností a Státním zdravotním ústavem </w:t>
      </w:r>
      <w:r w:rsidRPr="001F127D">
        <w:t xml:space="preserve">zabezpečí přípravu </w:t>
      </w:r>
      <w:r w:rsidR="00E4650B" w:rsidRPr="001F127D">
        <w:t>příslušn</w:t>
      </w:r>
      <w:r w:rsidRPr="001F127D">
        <w:t>ých</w:t>
      </w:r>
      <w:r w:rsidR="00E4650B" w:rsidRPr="001F127D">
        <w:t xml:space="preserve"> instruktážní</w:t>
      </w:r>
      <w:r w:rsidRPr="001F127D">
        <w:t>ch</w:t>
      </w:r>
      <w:r w:rsidR="00E4650B" w:rsidRPr="001F127D">
        <w:t xml:space="preserve"> vide</w:t>
      </w:r>
      <w:r w:rsidRPr="001F127D">
        <w:t>í</w:t>
      </w:r>
      <w:r w:rsidR="00E4650B" w:rsidRPr="001F127D">
        <w:t xml:space="preserve"> ke správné aplikaci </w:t>
      </w:r>
      <w:r w:rsidR="00F56F44" w:rsidRPr="001F127D">
        <w:t>očkovací</w:t>
      </w:r>
      <w:r w:rsidRPr="001F127D">
        <w:t>ch</w:t>
      </w:r>
      <w:r w:rsidR="00F56F44" w:rsidRPr="001F127D">
        <w:t xml:space="preserve"> lát</w:t>
      </w:r>
      <w:r w:rsidRPr="001F127D">
        <w:t>e</w:t>
      </w:r>
      <w:r w:rsidR="00F56F44" w:rsidRPr="001F127D">
        <w:t>k</w:t>
      </w:r>
      <w:r w:rsidR="00E4650B" w:rsidRPr="001F127D">
        <w:t>.</w:t>
      </w:r>
    </w:p>
    <w:p w14:paraId="7FD811A5" w14:textId="2D0B7CBD" w:rsidR="0065352A" w:rsidRPr="001F127D" w:rsidRDefault="00E4650B" w:rsidP="00E8305F">
      <w:r w:rsidRPr="001F127D">
        <w:t>Školení personálu na základě všech dostupných materiál</w:t>
      </w:r>
      <w:r w:rsidR="000262D0" w:rsidRPr="001F127D">
        <w:t>ů</w:t>
      </w:r>
      <w:r w:rsidRPr="001F127D">
        <w:t xml:space="preserve"> je v gesci příslušného poskytovatele zdravotních služeb, který provozuje očkovací místo. </w:t>
      </w:r>
    </w:p>
    <w:p w14:paraId="6677217C" w14:textId="77592313" w:rsidR="00D732A7" w:rsidRPr="00E8305F" w:rsidRDefault="00D732A7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Vytvoření sítě očkovacích míst</w:t>
      </w:r>
    </w:p>
    <w:p w14:paraId="15D4412E" w14:textId="7DB4D7F8" w:rsidR="006760D4" w:rsidRPr="001F127D" w:rsidRDefault="00C34B77" w:rsidP="00E8305F">
      <w:r w:rsidRPr="001F127D">
        <w:t xml:space="preserve">K realizaci očkování je v každém kraji na základě </w:t>
      </w:r>
      <w:r w:rsidR="000262D0" w:rsidRPr="001F127D">
        <w:t>pokynů</w:t>
      </w:r>
      <w:r w:rsidRPr="001F127D">
        <w:t xml:space="preserve"> </w:t>
      </w:r>
      <w:r w:rsidR="00555F8A" w:rsidRPr="001F127D">
        <w:t xml:space="preserve">MZ ČR </w:t>
      </w:r>
      <w:r w:rsidRPr="001F127D">
        <w:t xml:space="preserve">tvořena síť očkovacích míst. </w:t>
      </w:r>
      <w:r w:rsidR="000262D0" w:rsidRPr="001F127D">
        <w:t xml:space="preserve">Ve fázích IA, IB </w:t>
      </w:r>
      <w:r w:rsidR="000E5782" w:rsidRPr="001F127D">
        <w:t xml:space="preserve">tvoří </w:t>
      </w:r>
      <w:r w:rsidR="000262D0" w:rsidRPr="001F127D">
        <w:t>o</w:t>
      </w:r>
      <w:r w:rsidR="006760D4" w:rsidRPr="001F127D">
        <w:t>čkovací síť</w:t>
      </w:r>
      <w:r w:rsidR="000E5782" w:rsidRPr="001F127D">
        <w:t xml:space="preserve"> </w:t>
      </w:r>
      <w:r w:rsidR="006760D4" w:rsidRPr="001F127D">
        <w:t>distribuční očkovací místa</w:t>
      </w:r>
      <w:r w:rsidR="000262D0" w:rsidRPr="001F127D">
        <w:t xml:space="preserve"> (DOČM)</w:t>
      </w:r>
      <w:r w:rsidR="006760D4" w:rsidRPr="001F127D">
        <w:t xml:space="preserve">, očkovací místa </w:t>
      </w:r>
      <w:r w:rsidR="000262D0" w:rsidRPr="001F127D">
        <w:t>(OČM)</w:t>
      </w:r>
      <w:r w:rsidR="000E5782" w:rsidRPr="001F127D">
        <w:t xml:space="preserve"> </w:t>
      </w:r>
      <w:r w:rsidR="006760D4" w:rsidRPr="001F127D">
        <w:t xml:space="preserve">a </w:t>
      </w:r>
      <w:r w:rsidR="000262D0" w:rsidRPr="001F127D">
        <w:t xml:space="preserve">případně </w:t>
      </w:r>
      <w:r w:rsidR="000E5782" w:rsidRPr="001F127D">
        <w:t>ad</w:t>
      </w:r>
      <w:r w:rsidR="001A4B13" w:rsidRPr="001F127D">
        <w:t xml:space="preserve"> hoc zřizovaná</w:t>
      </w:r>
      <w:r w:rsidR="000E5782" w:rsidRPr="001F127D">
        <w:t xml:space="preserve"> </w:t>
      </w:r>
      <w:r w:rsidR="006760D4" w:rsidRPr="001F127D">
        <w:t>velkokapacitní očkovací místa</w:t>
      </w:r>
      <w:r w:rsidR="000262D0" w:rsidRPr="001F127D">
        <w:t xml:space="preserve"> (VOČM)</w:t>
      </w:r>
      <w:r w:rsidR="006760D4" w:rsidRPr="001F127D">
        <w:t xml:space="preserve">. Ve fázi II je síť očkovacích míst </w:t>
      </w:r>
      <w:r w:rsidR="00B8344F" w:rsidRPr="001F127D">
        <w:t>posílena</w:t>
      </w:r>
      <w:r w:rsidR="006760D4" w:rsidRPr="001F127D">
        <w:t xml:space="preserve"> o ordinace</w:t>
      </w:r>
      <w:r w:rsidR="000E5782" w:rsidRPr="001F127D">
        <w:t xml:space="preserve"> VPL a PLDD</w:t>
      </w:r>
      <w:r w:rsidR="006760D4" w:rsidRPr="001F127D">
        <w:t>.</w:t>
      </w:r>
    </w:p>
    <w:p w14:paraId="467430D0" w14:textId="356B8365" w:rsidR="006760D4" w:rsidRPr="001F127D" w:rsidRDefault="00091683" w:rsidP="00E8305F">
      <w:r w:rsidRPr="001F127D">
        <w:t xml:space="preserve">MZ ČR určuje DOČM. </w:t>
      </w:r>
      <w:r w:rsidR="000262D0" w:rsidRPr="001F127D">
        <w:t>Tvorba sítě očkovacích míst je v gesci krajských koordinátorů očkování, kteří zodpovídají za realizaci očkovací kampaně</w:t>
      </w:r>
      <w:r w:rsidRPr="001F127D">
        <w:t xml:space="preserve"> v rámci krajů</w:t>
      </w:r>
      <w:r w:rsidR="000262D0" w:rsidRPr="001F127D">
        <w:t xml:space="preserve">. </w:t>
      </w:r>
    </w:p>
    <w:p w14:paraId="24DE41FA" w14:textId="0DF727CC" w:rsidR="000262D0" w:rsidRPr="001F127D" w:rsidRDefault="000262D0" w:rsidP="00E8305F">
      <w:r w:rsidRPr="001F127D">
        <w:t xml:space="preserve">Seznam všech očkovacích míst je veden v prostředí </w:t>
      </w:r>
      <w:proofErr w:type="spellStart"/>
      <w:r w:rsidRPr="001F127D">
        <w:t>Covid</w:t>
      </w:r>
      <w:proofErr w:type="spellEnd"/>
      <w:r w:rsidRPr="001F127D">
        <w:t xml:space="preserve"> </w:t>
      </w:r>
      <w:proofErr w:type="spellStart"/>
      <w:r w:rsidRPr="001F127D">
        <w:t>Forms</w:t>
      </w:r>
      <w:proofErr w:type="spellEnd"/>
      <w:r w:rsidRPr="001F127D">
        <w:t xml:space="preserve"> </w:t>
      </w:r>
      <w:proofErr w:type="spellStart"/>
      <w:r w:rsidRPr="001F127D">
        <w:t>Apps</w:t>
      </w:r>
      <w:proofErr w:type="spellEnd"/>
      <w:r w:rsidRPr="001F127D">
        <w:t xml:space="preserve">, je </w:t>
      </w:r>
      <w:r w:rsidR="000C6BC0" w:rsidRPr="001F127D">
        <w:t xml:space="preserve">zřizovateli </w:t>
      </w:r>
      <w:r w:rsidRPr="001F127D">
        <w:t>průběžně doplňován</w:t>
      </w:r>
      <w:r w:rsidR="000C6BC0" w:rsidRPr="001F127D">
        <w:t xml:space="preserve"> včetně aktualizace </w:t>
      </w:r>
      <w:r w:rsidRPr="001F127D">
        <w:t>údaj</w:t>
      </w:r>
      <w:r w:rsidR="000C6BC0" w:rsidRPr="001F127D">
        <w:t>ů</w:t>
      </w:r>
      <w:r w:rsidRPr="001F127D">
        <w:t>.</w:t>
      </w:r>
    </w:p>
    <w:p w14:paraId="73EB1C06" w14:textId="02B90821" w:rsidR="000262D0" w:rsidRPr="001F127D" w:rsidRDefault="00E123AA" w:rsidP="00E8305F">
      <w:r w:rsidRPr="001F127D">
        <w:t>Podrobný popis očkovacích míst a jejich úloha je popsána v </w:t>
      </w:r>
      <w:r w:rsidR="00E8305F">
        <w:t>P</w:t>
      </w:r>
      <w:r w:rsidRPr="001F127D">
        <w:t>říloze 1 Popis procesu očkování.</w:t>
      </w:r>
    </w:p>
    <w:p w14:paraId="2E42EE69" w14:textId="7C04F59D" w:rsidR="00AB6D82" w:rsidRPr="001F127D" w:rsidRDefault="000C6BC0" w:rsidP="00E8305F">
      <w:r w:rsidRPr="001F127D">
        <w:t xml:space="preserve">Příprava k nasazení </w:t>
      </w:r>
      <w:r w:rsidR="00AB6D82" w:rsidRPr="001F127D">
        <w:t xml:space="preserve">Centrálního rezervačního systému </w:t>
      </w:r>
      <w:r w:rsidR="007D74C7" w:rsidRPr="001F127D">
        <w:t xml:space="preserve">(CRS) </w:t>
      </w:r>
      <w:r w:rsidR="00AB6D82" w:rsidRPr="001F127D">
        <w:t xml:space="preserve">pro </w:t>
      </w:r>
      <w:r w:rsidR="007650A6" w:rsidRPr="001F127D">
        <w:t xml:space="preserve">podporu </w:t>
      </w:r>
      <w:r w:rsidR="00AB6D82" w:rsidRPr="001F127D">
        <w:t>očkování</w:t>
      </w:r>
    </w:p>
    <w:p w14:paraId="428E5441" w14:textId="5BD563AF" w:rsidR="00914C8D" w:rsidRPr="001F127D" w:rsidRDefault="00914C8D" w:rsidP="00E8305F">
      <w:r w:rsidRPr="001F127D">
        <w:t xml:space="preserve">Centrální rezervační systém (CRS) svými komponentami plní </w:t>
      </w:r>
      <w:r w:rsidR="0090699D" w:rsidRPr="001F127D">
        <w:t xml:space="preserve">zejména </w:t>
      </w:r>
      <w:r w:rsidRPr="001F127D">
        <w:t xml:space="preserve">role registrace a rezervace osob pro očkování a plně tak eviduje průchod osoby očkovacím procesem. </w:t>
      </w:r>
    </w:p>
    <w:p w14:paraId="44F11469" w14:textId="7C1F907E" w:rsidR="006760D4" w:rsidRPr="001F127D" w:rsidRDefault="000C6BC0" w:rsidP="00E8305F">
      <w:r w:rsidRPr="001F127D">
        <w:t>Systém je navržen pro podporu p</w:t>
      </w:r>
      <w:r w:rsidR="0090699D" w:rsidRPr="001F127D">
        <w:t xml:space="preserve">rioritizace </w:t>
      </w:r>
      <w:r w:rsidRPr="001F127D">
        <w:t xml:space="preserve">dle </w:t>
      </w:r>
      <w:r w:rsidR="00E8305F">
        <w:t>následujících parametrů:</w:t>
      </w:r>
    </w:p>
    <w:p w14:paraId="67F5308F" w14:textId="4E072BA1" w:rsidR="00E1188A" w:rsidRPr="001F127D" w:rsidRDefault="0090699D" w:rsidP="001F127D">
      <w:pPr>
        <w:pStyle w:val="Zkladntext1"/>
        <w:numPr>
          <w:ilvl w:val="0"/>
          <w:numId w:val="25"/>
        </w:numPr>
      </w:pPr>
      <w:r w:rsidRPr="001F127D">
        <w:t>Věk osoby</w:t>
      </w:r>
    </w:p>
    <w:p w14:paraId="4454C7BF" w14:textId="654D5BDA" w:rsidR="00E1188A" w:rsidRPr="001F127D" w:rsidRDefault="00E1188A" w:rsidP="001F127D">
      <w:pPr>
        <w:pStyle w:val="Zkladntext1"/>
        <w:numPr>
          <w:ilvl w:val="0"/>
          <w:numId w:val="25"/>
        </w:numPr>
      </w:pPr>
      <w:r w:rsidRPr="001F127D">
        <w:t xml:space="preserve">Zdravotní </w:t>
      </w:r>
      <w:r w:rsidR="0090699D" w:rsidRPr="001F127D">
        <w:t>anamnéza</w:t>
      </w:r>
    </w:p>
    <w:p w14:paraId="037FD683" w14:textId="34780EE7" w:rsidR="00E1188A" w:rsidRPr="001F127D" w:rsidRDefault="0090699D" w:rsidP="001F127D">
      <w:pPr>
        <w:pStyle w:val="Zkladntext1"/>
        <w:numPr>
          <w:ilvl w:val="0"/>
          <w:numId w:val="25"/>
        </w:numPr>
      </w:pPr>
      <w:r w:rsidRPr="001F127D">
        <w:t>Profese</w:t>
      </w:r>
    </w:p>
    <w:p w14:paraId="5183D235" w14:textId="6C99D21F" w:rsidR="00E1188A" w:rsidRPr="001F127D" w:rsidRDefault="00E1188A" w:rsidP="00E8305F">
      <w:r w:rsidRPr="001F127D">
        <w:lastRenderedPageBreak/>
        <w:t>Systém je navržen tak, aby registraci a rezervaci seniorů</w:t>
      </w:r>
      <w:r w:rsidR="009B287E" w:rsidRPr="001F127D">
        <w:t>, kteří neovládají</w:t>
      </w:r>
      <w:r w:rsidRPr="001F127D">
        <w:t xml:space="preserve"> prác</w:t>
      </w:r>
      <w:r w:rsidR="009B287E" w:rsidRPr="001F127D">
        <w:t>i</w:t>
      </w:r>
      <w:r w:rsidRPr="001F127D">
        <w:t xml:space="preserve"> s</w:t>
      </w:r>
      <w:r w:rsidR="009B287E" w:rsidRPr="001F127D">
        <w:t> </w:t>
      </w:r>
      <w:r w:rsidRPr="001F127D">
        <w:t>int</w:t>
      </w:r>
      <w:r w:rsidR="009B287E" w:rsidRPr="001F127D">
        <w:t xml:space="preserve">ernetem, </w:t>
      </w:r>
      <w:r w:rsidRPr="001F127D">
        <w:t xml:space="preserve">mohli </w:t>
      </w:r>
      <w:r w:rsidR="009B287E" w:rsidRPr="001F127D">
        <w:t xml:space="preserve">asistenčně </w:t>
      </w:r>
      <w:r w:rsidRPr="001F127D">
        <w:t>provádět rodinní příslušníci, sociální pracovníci</w:t>
      </w:r>
      <w:r w:rsidR="0090699D" w:rsidRPr="001F127D">
        <w:t>, praktičtí lékaři</w:t>
      </w:r>
      <w:r w:rsidRPr="001F127D">
        <w:t xml:space="preserve"> i</w:t>
      </w:r>
      <w:r w:rsidR="009B287E" w:rsidRPr="001F127D">
        <w:t xml:space="preserve"> pracovníci linky podpory 1221.</w:t>
      </w:r>
    </w:p>
    <w:p w14:paraId="5B067623" w14:textId="336D64D0" w:rsidR="00E1188A" w:rsidRPr="001F127D" w:rsidRDefault="00E1188A" w:rsidP="00E8305F">
      <w:r w:rsidRPr="001F127D">
        <w:t>Centrální registrační systém je navázán na Informační systém infekčních nemocní a jeho modul Očkování (ISIN-OČKO).</w:t>
      </w:r>
    </w:p>
    <w:p w14:paraId="06C13BBC" w14:textId="3C71C4C4" w:rsidR="007B5CFA" w:rsidRPr="001F127D" w:rsidRDefault="007B5CFA" w:rsidP="00E8305F">
      <w:r w:rsidRPr="001F127D">
        <w:t xml:space="preserve">Centrální rezervační systém není používán pro objednání k očkování v ordinacích všeobecného praktického lékaře. </w:t>
      </w:r>
    </w:p>
    <w:p w14:paraId="738C82BA" w14:textId="4CC26D9B" w:rsidR="00AB6D82" w:rsidRPr="001F127D" w:rsidRDefault="00E1188A" w:rsidP="00E8305F">
      <w:r w:rsidRPr="001F127D">
        <w:t>Toto t</w:t>
      </w:r>
      <w:r w:rsidR="00E8305F">
        <w:t>éma je podrobně rozpracováno v P</w:t>
      </w:r>
      <w:r w:rsidRPr="001F127D">
        <w:t xml:space="preserve">říloze </w:t>
      </w:r>
      <w:r w:rsidR="009B287E" w:rsidRPr="001F127D">
        <w:t>4 IT podpora</w:t>
      </w:r>
      <w:r w:rsidRPr="001F127D">
        <w:t>.</w:t>
      </w:r>
    </w:p>
    <w:p w14:paraId="48FB17A0" w14:textId="1B2407FA" w:rsidR="007C1BE7" w:rsidRPr="001F127D" w:rsidRDefault="007C1BE7" w:rsidP="00E8305F">
      <w:pPr>
        <w:pStyle w:val="Nadpis3"/>
      </w:pPr>
      <w:r w:rsidRPr="001F127D">
        <w:t>Fáze IA očkování nejrizikovějších skupin obyvatelstva</w:t>
      </w:r>
      <w:r w:rsidR="00753B04" w:rsidRPr="001F127D">
        <w:t xml:space="preserve"> (leden – únor 2021)</w:t>
      </w:r>
    </w:p>
    <w:p w14:paraId="7BCBBB30" w14:textId="77777777" w:rsidR="00F824A5" w:rsidRPr="001F127D" w:rsidRDefault="00F824A5" w:rsidP="00E8305F">
      <w:r w:rsidRPr="001F127D">
        <w:t>Fáze IA je charakterizována dostupností očkovacích látek pro definované skupiny obyvatelstva s cílem proočkování minimálně 70 %.</w:t>
      </w:r>
    </w:p>
    <w:p w14:paraId="0295AD55" w14:textId="750F1421" w:rsidR="00753B04" w:rsidRPr="001F127D" w:rsidRDefault="00753B04" w:rsidP="00E8305F">
      <w:r w:rsidRPr="001F127D">
        <w:t xml:space="preserve">Očkování v této fázi je realizováno v souladu se stanovenou prioritizace nejrizikovějších skupin: </w:t>
      </w:r>
    </w:p>
    <w:p w14:paraId="3E727B8E" w14:textId="0C71EEA9" w:rsidR="00753B04" w:rsidRPr="001F127D" w:rsidRDefault="00753B04" w:rsidP="001F127D">
      <w:pPr>
        <w:pStyle w:val="Zkladntext1"/>
        <w:numPr>
          <w:ilvl w:val="0"/>
          <w:numId w:val="34"/>
        </w:numPr>
      </w:pPr>
      <w:r w:rsidRPr="001F127D">
        <w:t>skupina seniorů (80+),</w:t>
      </w:r>
    </w:p>
    <w:p w14:paraId="14607431" w14:textId="77777777" w:rsidR="00753B04" w:rsidRPr="001F127D" w:rsidRDefault="00753B04" w:rsidP="001F127D">
      <w:pPr>
        <w:pStyle w:val="Zkladntext1"/>
        <w:numPr>
          <w:ilvl w:val="0"/>
          <w:numId w:val="34"/>
        </w:numPr>
      </w:pPr>
      <w:r w:rsidRPr="001F127D">
        <w:t xml:space="preserve">senioři v zařízeních pobytových sociálních služeb a personál o ně pečující, </w:t>
      </w:r>
    </w:p>
    <w:p w14:paraId="535642FB" w14:textId="4C13760E" w:rsidR="00753B04" w:rsidRPr="001F127D" w:rsidRDefault="00753B04" w:rsidP="001F127D">
      <w:pPr>
        <w:pStyle w:val="Zkladntext1"/>
        <w:numPr>
          <w:ilvl w:val="0"/>
          <w:numId w:val="34"/>
        </w:numPr>
      </w:pPr>
      <w:r w:rsidRPr="001F127D">
        <w:t>klienti v domovech pro osoby se zdravotním postižením a klienty odlehčovacích služeb,</w:t>
      </w:r>
    </w:p>
    <w:p w14:paraId="1266F0ED" w14:textId="2B2424D5" w:rsidR="00753B04" w:rsidRPr="001F127D" w:rsidRDefault="00753B04" w:rsidP="001F127D">
      <w:pPr>
        <w:pStyle w:val="Zkladntext1"/>
        <w:numPr>
          <w:ilvl w:val="0"/>
          <w:numId w:val="34"/>
        </w:numPr>
      </w:pPr>
      <w:r w:rsidRPr="001F127D">
        <w:t>zdravotníci poskytující péči pacientům s nemocí COVID-19.</w:t>
      </w:r>
    </w:p>
    <w:p w14:paraId="16A7132C" w14:textId="5D3C6C30" w:rsidR="00CF55BE" w:rsidRPr="00E8305F" w:rsidRDefault="00E8305F" w:rsidP="00E8305F">
      <w:pPr>
        <w:ind w:left="-42"/>
        <w:rPr>
          <w:b/>
          <w:u w:val="single"/>
        </w:rPr>
      </w:pPr>
      <w:r>
        <w:rPr>
          <w:b/>
          <w:u w:val="single"/>
        </w:rPr>
        <w:t>Logistické zabezpečení</w:t>
      </w:r>
    </w:p>
    <w:p w14:paraId="70D33C24" w14:textId="179CCE10" w:rsidR="001975FF" w:rsidRPr="001F127D" w:rsidRDefault="00AC3A56" w:rsidP="00E8305F">
      <w:r w:rsidRPr="001F127D">
        <w:t xml:space="preserve">Logistika je v této fázi zaměřena na podporu DOČM v případě očkovací látky Comirnaty a případně na podporu ostatních OČM u dalších očkovacích látek. </w:t>
      </w:r>
    </w:p>
    <w:p w14:paraId="7DFEE136" w14:textId="783E1120" w:rsidR="001975FF" w:rsidRPr="001F127D" w:rsidRDefault="001975FF" w:rsidP="00E8305F">
      <w:r w:rsidRPr="001F127D">
        <w:t>Komplementární materiál je primárně zabezpečován OČM.</w:t>
      </w:r>
    </w:p>
    <w:p w14:paraId="0023F276" w14:textId="11470FA2" w:rsidR="00AC3A56" w:rsidRPr="001F127D" w:rsidRDefault="00AC3A56" w:rsidP="00E8305F">
      <w:r w:rsidRPr="001F127D">
        <w:t>Probíhá evidence stavu zásob očkovacích látek a komplementárního materiálu a tato informace je předávána cestou hlášení v CFA MZ ČR a příslušnému KKOČ.</w:t>
      </w:r>
    </w:p>
    <w:p w14:paraId="133C0E0C" w14:textId="5F466167" w:rsidR="00AB6D82" w:rsidRPr="00E8305F" w:rsidRDefault="00AB6D82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IT podpora</w:t>
      </w:r>
    </w:p>
    <w:p w14:paraId="7EC30A72" w14:textId="61B7FCF7" w:rsidR="00F824A5" w:rsidRPr="001F127D" w:rsidRDefault="00F824A5" w:rsidP="00E8305F">
      <w:r w:rsidRPr="001F127D">
        <w:t xml:space="preserve">V této fázi je dobudován a spuštěn </w:t>
      </w:r>
      <w:r w:rsidR="00AB6D82" w:rsidRPr="001F127D">
        <w:t>Centrální rezervační systém</w:t>
      </w:r>
      <w:r w:rsidRPr="001F127D">
        <w:t xml:space="preserve"> (CRS)</w:t>
      </w:r>
      <w:r w:rsidR="00AB6D82" w:rsidRPr="001F127D">
        <w:t xml:space="preserve"> </w:t>
      </w:r>
      <w:r w:rsidRPr="001F127D">
        <w:t xml:space="preserve">a jeho komponenty Registrační formulář a Rezervační komponenta </w:t>
      </w:r>
      <w:r w:rsidR="00AB6D82" w:rsidRPr="001F127D">
        <w:t xml:space="preserve">pro </w:t>
      </w:r>
      <w:r w:rsidRPr="001F127D">
        <w:t>podporu očkování</w:t>
      </w:r>
      <w:r w:rsidR="00AB6D82" w:rsidRPr="001F127D">
        <w:t xml:space="preserve">. </w:t>
      </w:r>
      <w:r w:rsidRPr="001F127D">
        <w:t>Skupina seniorů 80+ zahajuje jako první proces registrace v CRS dnem 15. ledna 2021.</w:t>
      </w:r>
    </w:p>
    <w:p w14:paraId="017F7F1C" w14:textId="2FC4BDA3" w:rsidR="00AB6D82" w:rsidRPr="001F127D" w:rsidRDefault="00F824A5" w:rsidP="001F127D">
      <w:pPr>
        <w:pStyle w:val="Zkladntext1"/>
      </w:pPr>
      <w:r w:rsidRPr="001F127D">
        <w:t xml:space="preserve">Podrobný popis je obsažen v Příloze 1 Popis procesu očkování. </w:t>
      </w:r>
    </w:p>
    <w:p w14:paraId="5A1C0701" w14:textId="77777777" w:rsidR="004C697E" w:rsidRDefault="004C697E" w:rsidP="00E8305F">
      <w:pPr>
        <w:pStyle w:val="Nadpis3"/>
      </w:pPr>
    </w:p>
    <w:p w14:paraId="326E31B6" w14:textId="62C3DD37" w:rsidR="00633330" w:rsidRPr="001F127D" w:rsidRDefault="00633330" w:rsidP="00E8305F">
      <w:pPr>
        <w:pStyle w:val="Nadpis3"/>
      </w:pPr>
      <w:r w:rsidRPr="001F127D">
        <w:t>Fáze IB</w:t>
      </w:r>
      <w:r w:rsidR="003C44D8" w:rsidRPr="001F127D">
        <w:t>: očkování prioritních skupin obyvatelstva</w:t>
      </w:r>
      <w:r w:rsidRPr="001F127D">
        <w:t xml:space="preserve"> (únor – </w:t>
      </w:r>
      <w:r w:rsidR="00F2197B" w:rsidRPr="001F127D">
        <w:t>červen</w:t>
      </w:r>
      <w:r w:rsidRPr="001F127D">
        <w:t xml:space="preserve"> 2021):</w:t>
      </w:r>
    </w:p>
    <w:p w14:paraId="0F0A7654" w14:textId="65D3F4C2" w:rsidR="009D6D9C" w:rsidRPr="001F127D" w:rsidRDefault="009D6D9C" w:rsidP="00E8305F">
      <w:r w:rsidRPr="001F127D">
        <w:t>Fáze IB je charakterizována dostupností očkovacích látek od vícero výrobců. Očkování provádí maximální počet zřízených očkovacích míst a postupně se v závislosti na dostupnosti očkovacích látek zapojují ordinace praktických lékařů. Zároveň jsou kraji pro širokou veřejnost zřizována velkokapacitní očkovací místa dle potřeby kraje, okresů.</w:t>
      </w:r>
    </w:p>
    <w:p w14:paraId="5CCBFFD5" w14:textId="30C68DD9" w:rsidR="009D6D9C" w:rsidRPr="001F127D" w:rsidRDefault="009D6D9C" w:rsidP="001F127D">
      <w:r w:rsidRPr="001F127D">
        <w:lastRenderedPageBreak/>
        <w:t xml:space="preserve">Pokračuje proces očkování dle schématu prioritizace cílových skupin, je zapojen maximální počet </w:t>
      </w:r>
      <w:r w:rsidR="009E18C8" w:rsidRPr="001F127D">
        <w:t>všech zřízených typů očkovacích míst</w:t>
      </w:r>
      <w:r w:rsidRPr="001F127D">
        <w:t xml:space="preserve"> </w:t>
      </w:r>
      <w:r w:rsidR="009E18C8" w:rsidRPr="001F127D">
        <w:t xml:space="preserve">(DOČM, OČM a VOČM) </w:t>
      </w:r>
      <w:r w:rsidRPr="001F127D">
        <w:t>a začíná připojování ordinací praktických lékařů k procesu očkování.</w:t>
      </w:r>
    </w:p>
    <w:p w14:paraId="6789A187" w14:textId="77777777" w:rsidR="00E8305F" w:rsidRPr="00E8305F" w:rsidRDefault="00E8305F" w:rsidP="00E8305F">
      <w:pPr>
        <w:ind w:left="-42"/>
        <w:rPr>
          <w:b/>
          <w:u w:val="single"/>
        </w:rPr>
      </w:pPr>
      <w:r>
        <w:rPr>
          <w:b/>
          <w:u w:val="single"/>
        </w:rPr>
        <w:t>Logistické zabezpečení</w:t>
      </w:r>
    </w:p>
    <w:p w14:paraId="359C6B7D" w14:textId="3BC4FA5D" w:rsidR="009E18C8" w:rsidRPr="001F127D" w:rsidRDefault="009E18C8" w:rsidP="00E8305F">
      <w:r w:rsidRPr="001F127D">
        <w:t>Hlavní úsilí logistiky je v této fázi zaměřeno na distribuci očkovacích látek pro všechny typy očkovacích míst a případné ordinace praktických lékařů zapojených do očkovací kampaně.</w:t>
      </w:r>
    </w:p>
    <w:p w14:paraId="52FACB81" w14:textId="77777777" w:rsidR="009E18C8" w:rsidRPr="001F127D" w:rsidRDefault="009E18C8" w:rsidP="00E8305F">
      <w:r w:rsidRPr="001F127D">
        <w:t>Probíhá evidence stavu zásob očkovacích látek a komplementárního materiálu a tato informace je předávána cestou hlášení v CFA MZ ČR a příslušnému KKOČ.</w:t>
      </w:r>
    </w:p>
    <w:p w14:paraId="7CC47C53" w14:textId="77777777" w:rsidR="004719A2" w:rsidRPr="00E8305F" w:rsidRDefault="004719A2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IT Podpora</w:t>
      </w:r>
    </w:p>
    <w:p w14:paraId="18E26D4C" w14:textId="39AEA3D4" w:rsidR="004719A2" w:rsidRPr="001F127D" w:rsidRDefault="004719A2" w:rsidP="00E8305F">
      <w:r w:rsidRPr="001F127D">
        <w:t>Ve fázi IB je již</w:t>
      </w:r>
      <w:r w:rsidR="009E18C8" w:rsidRPr="001F127D">
        <w:t xml:space="preserve"> plně implementován</w:t>
      </w:r>
      <w:r w:rsidRPr="001F127D">
        <w:t xml:space="preserve"> Centrální rezervační systém a jeho komponenty na všech </w:t>
      </w:r>
      <w:r w:rsidR="009E18C8" w:rsidRPr="001F127D">
        <w:t>typech očkovacích míst</w:t>
      </w:r>
      <w:r w:rsidRPr="001F127D">
        <w:t>.</w:t>
      </w:r>
    </w:p>
    <w:p w14:paraId="26065202" w14:textId="7B4C01B2" w:rsidR="00633330" w:rsidRPr="001F127D" w:rsidRDefault="00633330" w:rsidP="00E8305F">
      <w:pPr>
        <w:pStyle w:val="Nadpis3"/>
      </w:pPr>
      <w:r w:rsidRPr="001F127D">
        <w:t>Fáze II</w:t>
      </w:r>
      <w:r w:rsidR="003C44D8" w:rsidRPr="001F127D">
        <w:t xml:space="preserve">: očkování dalších skupin obyvatelstva </w:t>
      </w:r>
      <w:r w:rsidRPr="001F127D">
        <w:t>(červenec 2021 – 2022):</w:t>
      </w:r>
    </w:p>
    <w:p w14:paraId="3DE3DEE0" w14:textId="77777777" w:rsidR="00EA46D7" w:rsidRPr="001F127D" w:rsidRDefault="00EA46D7" w:rsidP="001F127D">
      <w:r w:rsidRPr="001F127D">
        <w:t>Probíhá očkování široké veřejnosti. Očkování provádí maximální počet zřízených očkovacích míst včetně většiny ordinací praktických lékařů a nově zřízená VOČM</w:t>
      </w:r>
    </w:p>
    <w:p w14:paraId="3356EC08" w14:textId="08D24FBE" w:rsidR="00EA46D7" w:rsidRPr="001F127D" w:rsidRDefault="00EA46D7" w:rsidP="001F127D">
      <w:r w:rsidRPr="001F127D">
        <w:t>Očkovaní jsou všichni zájemci bez aplikované prioritizace a dostupných je více druhu očkovacích látek.</w:t>
      </w:r>
    </w:p>
    <w:p w14:paraId="50CCB076" w14:textId="77777777" w:rsidR="00E8305F" w:rsidRPr="00E8305F" w:rsidRDefault="00E8305F" w:rsidP="00E8305F">
      <w:pPr>
        <w:ind w:left="-42"/>
        <w:rPr>
          <w:b/>
          <w:u w:val="single"/>
        </w:rPr>
      </w:pPr>
      <w:r>
        <w:rPr>
          <w:b/>
          <w:u w:val="single"/>
        </w:rPr>
        <w:t>Logistické zabezpečení</w:t>
      </w:r>
    </w:p>
    <w:p w14:paraId="4AF1F1A7" w14:textId="5F73B238" w:rsidR="00EA46D7" w:rsidRPr="001F127D" w:rsidRDefault="00EA46D7" w:rsidP="00E8305F">
      <w:r w:rsidRPr="001F127D">
        <w:t>Hlavní úsilí logistiky je v této fázi zaměřeno na distribuci očkovacích látek pro všechny typy očkovacích míst a ordinace praktických lékařů zapojených do očkovací kampaně.</w:t>
      </w:r>
    </w:p>
    <w:p w14:paraId="3ED073F4" w14:textId="77777777" w:rsidR="00EA46D7" w:rsidRPr="001F127D" w:rsidRDefault="00EA46D7" w:rsidP="00E8305F">
      <w:r w:rsidRPr="001F127D">
        <w:t>Probíhá evidence stavu zásob očkovacích látek a komplementárního materiálu a tato informace je předávána cestou hlášení v CFA MZ ČR a příslušnému KKOČ.</w:t>
      </w:r>
    </w:p>
    <w:p w14:paraId="68968027" w14:textId="7192598C" w:rsidR="004719A2" w:rsidRPr="00E8305F" w:rsidRDefault="004719A2" w:rsidP="00E8305F">
      <w:pPr>
        <w:ind w:left="-42"/>
        <w:rPr>
          <w:b/>
          <w:u w:val="single"/>
        </w:rPr>
      </w:pPr>
      <w:r w:rsidRPr="00E8305F">
        <w:rPr>
          <w:b/>
          <w:u w:val="single"/>
        </w:rPr>
        <w:t>IT Podpora</w:t>
      </w:r>
    </w:p>
    <w:p w14:paraId="70BF3D52" w14:textId="3B22FEEF" w:rsidR="004719A2" w:rsidRPr="001F127D" w:rsidRDefault="00EA46D7" w:rsidP="00E8305F">
      <w:r w:rsidRPr="001F127D">
        <w:t>V</w:t>
      </w:r>
      <w:r w:rsidR="004719A2" w:rsidRPr="001F127D">
        <w:t xml:space="preserve">ývoj CRS </w:t>
      </w:r>
      <w:r w:rsidRPr="001F127D">
        <w:t xml:space="preserve">je </w:t>
      </w:r>
      <w:r w:rsidR="004719A2" w:rsidRPr="001F127D">
        <w:t xml:space="preserve">pro potřeby očkování dokončen a jsou odladěny i </w:t>
      </w:r>
      <w:r w:rsidRPr="001F127D">
        <w:t xml:space="preserve">jeho </w:t>
      </w:r>
      <w:r w:rsidR="004719A2" w:rsidRPr="001F127D">
        <w:t>případné nedostatky. V této fázi poskytuje ISIN certifikaci o provedení očkování ve formě:</w:t>
      </w:r>
    </w:p>
    <w:p w14:paraId="73A054DE" w14:textId="77777777" w:rsidR="004719A2" w:rsidRPr="001F127D" w:rsidRDefault="004719A2" w:rsidP="001F127D">
      <w:pPr>
        <w:pStyle w:val="Zkladntext1"/>
        <w:numPr>
          <w:ilvl w:val="0"/>
          <w:numId w:val="28"/>
        </w:numPr>
      </w:pPr>
      <w:r w:rsidRPr="001F127D">
        <w:t xml:space="preserve">V systému ISIN je vytvořen veřejný portál pro ověření provedení očkování, případně zjištění stavu, je zavedena notifikace lékařům a pacientům o termínech vícefázového očkování. </w:t>
      </w:r>
    </w:p>
    <w:p w14:paraId="68E4C002" w14:textId="77777777" w:rsidR="004719A2" w:rsidRPr="001F127D" w:rsidRDefault="004719A2" w:rsidP="001F127D">
      <w:pPr>
        <w:pStyle w:val="Zkladntext1"/>
        <w:numPr>
          <w:ilvl w:val="0"/>
          <w:numId w:val="28"/>
        </w:numPr>
      </w:pPr>
      <w:r w:rsidRPr="001F127D">
        <w:t xml:space="preserve">Ověřování občana probíhá přes služby eGovernmentu (NIA a Portál občana), </w:t>
      </w:r>
    </w:p>
    <w:p w14:paraId="2AA6F434" w14:textId="3D50D394" w:rsidR="004719A2" w:rsidRPr="001F127D" w:rsidRDefault="004719A2" w:rsidP="001F127D">
      <w:pPr>
        <w:pStyle w:val="Zkladntext1"/>
        <w:numPr>
          <w:ilvl w:val="0"/>
          <w:numId w:val="28"/>
        </w:numPr>
      </w:pPr>
      <w:r w:rsidRPr="001F127D">
        <w:t>probíhá celkové napojení systému na systémy EU a dalších zemí dle standardů EU a</w:t>
      </w:r>
      <w:r w:rsidR="008E5677" w:rsidRPr="001F127D">
        <w:t> </w:t>
      </w:r>
      <w:r w:rsidRPr="001F127D">
        <w:t xml:space="preserve">WHO. </w:t>
      </w:r>
    </w:p>
    <w:p w14:paraId="4E2F7031" w14:textId="147DD76A" w:rsidR="003B4596" w:rsidRPr="001F127D" w:rsidRDefault="00414E87" w:rsidP="00E8305F">
      <w:pPr>
        <w:pStyle w:val="Nadpis2"/>
        <w:numPr>
          <w:ilvl w:val="0"/>
          <w:numId w:val="42"/>
        </w:numPr>
        <w:ind w:left="322"/>
      </w:pPr>
      <w:r w:rsidRPr="001F127D">
        <w:t>K</w:t>
      </w:r>
      <w:r w:rsidR="00E56FB2" w:rsidRPr="001F127D">
        <w:t>líčov</w:t>
      </w:r>
      <w:r w:rsidRPr="001F127D">
        <w:t>í</w:t>
      </w:r>
      <w:r w:rsidR="00E56FB2" w:rsidRPr="001F127D">
        <w:t xml:space="preserve"> aktéři</w:t>
      </w:r>
    </w:p>
    <w:p w14:paraId="7F1174D5" w14:textId="394099E2" w:rsidR="00414E87" w:rsidRPr="001F127D" w:rsidRDefault="00434189" w:rsidP="00E8305F">
      <w:r w:rsidRPr="001F127D">
        <w:t xml:space="preserve">Rozeznáváme tři úrovně řízení </w:t>
      </w:r>
      <w:r w:rsidR="006A4862" w:rsidRPr="001F127D">
        <w:t xml:space="preserve">procesu očkování </w:t>
      </w:r>
      <w:r w:rsidRPr="001F127D">
        <w:t>a jejich aktéry</w:t>
      </w:r>
      <w:r w:rsidR="00414E87" w:rsidRPr="001F127D">
        <w:t>:</w:t>
      </w:r>
    </w:p>
    <w:p w14:paraId="0A54241F" w14:textId="6308D755" w:rsidR="00414E87" w:rsidRPr="00E8305F" w:rsidRDefault="00414E87" w:rsidP="001F127D">
      <w:pPr>
        <w:pStyle w:val="Zkladntext1"/>
        <w:numPr>
          <w:ilvl w:val="0"/>
          <w:numId w:val="32"/>
        </w:numPr>
        <w:rPr>
          <w:u w:val="single"/>
        </w:rPr>
      </w:pPr>
      <w:r w:rsidRPr="00E8305F">
        <w:rPr>
          <w:u w:val="single"/>
        </w:rPr>
        <w:t>Strategi</w:t>
      </w:r>
      <w:r w:rsidR="00434189" w:rsidRPr="00E8305F">
        <w:rPr>
          <w:u w:val="single"/>
        </w:rPr>
        <w:t>cká úroveň</w:t>
      </w:r>
    </w:p>
    <w:p w14:paraId="2DCFEC3E" w14:textId="44102431" w:rsidR="00414E87" w:rsidRPr="001F127D" w:rsidRDefault="00C81377" w:rsidP="00E8305F">
      <w:pPr>
        <w:pStyle w:val="Zkladntext1"/>
        <w:numPr>
          <w:ilvl w:val="0"/>
          <w:numId w:val="29"/>
        </w:numPr>
        <w:ind w:left="1134"/>
      </w:pPr>
      <w:r w:rsidRPr="001F127D">
        <w:t>m</w:t>
      </w:r>
      <w:r w:rsidR="00414E87" w:rsidRPr="001F127D">
        <w:t>inistr zdravotnictví ČR</w:t>
      </w:r>
      <w:r w:rsidR="000429D1" w:rsidRPr="001F127D">
        <w:t>,</w:t>
      </w:r>
    </w:p>
    <w:p w14:paraId="03A8F319" w14:textId="26DBCC00" w:rsidR="00414E87" w:rsidRPr="001F127D" w:rsidRDefault="00414E87" w:rsidP="00E8305F">
      <w:pPr>
        <w:pStyle w:val="Zkladntext1"/>
        <w:numPr>
          <w:ilvl w:val="0"/>
          <w:numId w:val="29"/>
        </w:numPr>
        <w:ind w:left="1134"/>
      </w:pPr>
      <w:r w:rsidRPr="001F127D">
        <w:t>Národní koordináto</w:t>
      </w:r>
      <w:r w:rsidR="00434189" w:rsidRPr="001F127D">
        <w:t>r očkování</w:t>
      </w:r>
      <w:r w:rsidR="000429D1" w:rsidRPr="001F127D">
        <w:t xml:space="preserve"> MZ ČR,</w:t>
      </w:r>
    </w:p>
    <w:p w14:paraId="5E29DD22" w14:textId="37E20CA8" w:rsidR="00434189" w:rsidRPr="001F127D" w:rsidRDefault="00434189" w:rsidP="00E8305F">
      <w:pPr>
        <w:pStyle w:val="Zkladntext1"/>
        <w:numPr>
          <w:ilvl w:val="0"/>
          <w:numId w:val="29"/>
        </w:numPr>
        <w:ind w:left="1134"/>
      </w:pPr>
      <w:r w:rsidRPr="001F127D">
        <w:t>ÚKŠ</w:t>
      </w:r>
      <w:r w:rsidR="000429D1" w:rsidRPr="001F127D">
        <w:t>,</w:t>
      </w:r>
    </w:p>
    <w:p w14:paraId="72B4E99F" w14:textId="1B340599" w:rsidR="00434189" w:rsidRPr="001F127D" w:rsidRDefault="000429D1" w:rsidP="00E8305F">
      <w:pPr>
        <w:pStyle w:val="Zkladntext1"/>
        <w:numPr>
          <w:ilvl w:val="0"/>
          <w:numId w:val="29"/>
        </w:numPr>
        <w:ind w:left="1134"/>
      </w:pPr>
      <w:r w:rsidRPr="001F127D">
        <w:lastRenderedPageBreak/>
        <w:t>d</w:t>
      </w:r>
      <w:r w:rsidR="00434189" w:rsidRPr="001F127D">
        <w:t>odavatelé očkovacích látek</w:t>
      </w:r>
      <w:r w:rsidRPr="001F127D">
        <w:t>.</w:t>
      </w:r>
    </w:p>
    <w:p w14:paraId="1BB76D37" w14:textId="77777777" w:rsidR="00434189" w:rsidRPr="00E8305F" w:rsidRDefault="00434189" w:rsidP="001F127D">
      <w:pPr>
        <w:pStyle w:val="Zkladntext1"/>
        <w:numPr>
          <w:ilvl w:val="0"/>
          <w:numId w:val="32"/>
        </w:numPr>
        <w:rPr>
          <w:u w:val="single"/>
        </w:rPr>
      </w:pPr>
      <w:r w:rsidRPr="00E8305F">
        <w:rPr>
          <w:u w:val="single"/>
        </w:rPr>
        <w:t>Koordinační úroveň</w:t>
      </w:r>
    </w:p>
    <w:p w14:paraId="53F5BB7B" w14:textId="5A5C9704" w:rsidR="00434189" w:rsidRPr="001F127D" w:rsidRDefault="00C81377" w:rsidP="00E8305F">
      <w:pPr>
        <w:pStyle w:val="Zkladntext1"/>
        <w:numPr>
          <w:ilvl w:val="0"/>
          <w:numId w:val="29"/>
        </w:numPr>
        <w:ind w:left="1134"/>
      </w:pPr>
      <w:r w:rsidRPr="001F127D">
        <w:t>h</w:t>
      </w:r>
      <w:r w:rsidR="00434189" w:rsidRPr="001F127D">
        <w:t>ejtmani krajů</w:t>
      </w:r>
      <w:r w:rsidR="000429D1" w:rsidRPr="001F127D">
        <w:t>,</w:t>
      </w:r>
    </w:p>
    <w:p w14:paraId="40017DB9" w14:textId="5001A53E" w:rsidR="00414E87" w:rsidRPr="001F127D" w:rsidRDefault="00434189" w:rsidP="00E8305F">
      <w:pPr>
        <w:pStyle w:val="Zkladntext1"/>
        <w:numPr>
          <w:ilvl w:val="0"/>
          <w:numId w:val="29"/>
        </w:numPr>
        <w:ind w:left="1134"/>
      </w:pPr>
      <w:r w:rsidRPr="001F127D">
        <w:t>Národní dispečink očkování</w:t>
      </w:r>
      <w:r w:rsidR="000429D1" w:rsidRPr="001F127D">
        <w:t>,</w:t>
      </w:r>
    </w:p>
    <w:p w14:paraId="22EE65F6" w14:textId="1540BFCE" w:rsidR="00434189" w:rsidRPr="001F127D" w:rsidRDefault="000429D1" w:rsidP="00E8305F">
      <w:pPr>
        <w:pStyle w:val="Zkladntext1"/>
        <w:numPr>
          <w:ilvl w:val="0"/>
          <w:numId w:val="29"/>
        </w:numPr>
        <w:ind w:left="1134"/>
      </w:pPr>
      <w:r w:rsidRPr="001F127D">
        <w:t>k</w:t>
      </w:r>
      <w:r w:rsidR="00434189" w:rsidRPr="001F127D">
        <w:t>rajští koordinátoři očkování</w:t>
      </w:r>
      <w:r w:rsidRPr="001F127D">
        <w:t>,</w:t>
      </w:r>
    </w:p>
    <w:p w14:paraId="6EF8CE3D" w14:textId="1DCFC1ED" w:rsidR="00434189" w:rsidRPr="001F127D" w:rsidRDefault="000429D1" w:rsidP="00E8305F">
      <w:pPr>
        <w:pStyle w:val="Zkladntext1"/>
        <w:numPr>
          <w:ilvl w:val="0"/>
          <w:numId w:val="29"/>
        </w:numPr>
        <w:ind w:left="1134"/>
      </w:pPr>
      <w:r w:rsidRPr="001F127D">
        <w:t>d</w:t>
      </w:r>
      <w:r w:rsidR="00434189" w:rsidRPr="001F127D">
        <w:t>istributoři očkovacích látek</w:t>
      </w:r>
      <w:r w:rsidRPr="001F127D">
        <w:t>,</w:t>
      </w:r>
    </w:p>
    <w:p w14:paraId="440E7418" w14:textId="2C0195B3" w:rsidR="00434189" w:rsidRPr="001F127D" w:rsidRDefault="000429D1" w:rsidP="00E8305F">
      <w:pPr>
        <w:pStyle w:val="Zkladntext1"/>
        <w:numPr>
          <w:ilvl w:val="0"/>
          <w:numId w:val="29"/>
        </w:numPr>
        <w:ind w:left="1134"/>
      </w:pPr>
      <w:r w:rsidRPr="001F127D">
        <w:t>d</w:t>
      </w:r>
      <w:r w:rsidR="00434189" w:rsidRPr="001F127D">
        <w:t>istribuční očkovací místa</w:t>
      </w:r>
      <w:r w:rsidRPr="001F127D">
        <w:t>.</w:t>
      </w:r>
    </w:p>
    <w:p w14:paraId="67057642" w14:textId="398349F8" w:rsidR="00434189" w:rsidRPr="00E8305F" w:rsidRDefault="00434189" w:rsidP="001F127D">
      <w:pPr>
        <w:pStyle w:val="Zkladntext1"/>
        <w:numPr>
          <w:ilvl w:val="0"/>
          <w:numId w:val="32"/>
        </w:numPr>
        <w:rPr>
          <w:u w:val="single"/>
        </w:rPr>
      </w:pPr>
      <w:r w:rsidRPr="00E8305F">
        <w:rPr>
          <w:u w:val="single"/>
        </w:rPr>
        <w:t>Realizační úroveň</w:t>
      </w:r>
    </w:p>
    <w:p w14:paraId="1DAE84B5" w14:textId="77777777" w:rsidR="00607CF2" w:rsidRPr="001F127D" w:rsidRDefault="00434189" w:rsidP="00E8305F">
      <w:pPr>
        <w:pStyle w:val="Zkladntext1"/>
        <w:numPr>
          <w:ilvl w:val="0"/>
          <w:numId w:val="29"/>
        </w:numPr>
        <w:ind w:left="1134"/>
      </w:pPr>
      <w:r w:rsidRPr="001F127D">
        <w:t>všechny typy očkovacích míst</w:t>
      </w:r>
      <w:r w:rsidR="00607CF2" w:rsidRPr="001F127D">
        <w:t>,</w:t>
      </w:r>
    </w:p>
    <w:p w14:paraId="11AF3F8E" w14:textId="7AAAD863" w:rsidR="00414E87" w:rsidRPr="001F127D" w:rsidRDefault="00607CF2" w:rsidP="00E8305F">
      <w:pPr>
        <w:pStyle w:val="Zkladntext1"/>
        <w:numPr>
          <w:ilvl w:val="0"/>
          <w:numId w:val="29"/>
        </w:numPr>
        <w:ind w:left="1134"/>
      </w:pPr>
      <w:r w:rsidRPr="001F127D">
        <w:t>ordinace praktických lékařů (VPL, PLDD)</w:t>
      </w:r>
      <w:r w:rsidR="00434189" w:rsidRPr="001F127D">
        <w:t>.</w:t>
      </w:r>
    </w:p>
    <w:p w14:paraId="7FAD9B5F" w14:textId="329AC58C" w:rsidR="00434189" w:rsidRPr="001F127D" w:rsidRDefault="00434189" w:rsidP="00E8305F">
      <w:r w:rsidRPr="001F127D">
        <w:t>Přesný popis a úloha klíčových aktérů jsou uvedeny v</w:t>
      </w:r>
      <w:r w:rsidR="00607CF2" w:rsidRPr="001F127D">
        <w:t> P</w:t>
      </w:r>
      <w:r w:rsidRPr="001F127D">
        <w:t>říloze</w:t>
      </w:r>
      <w:r w:rsidR="00607CF2" w:rsidRPr="001F127D">
        <w:t xml:space="preserve"> 1</w:t>
      </w:r>
      <w:r w:rsidRPr="001F127D">
        <w:t xml:space="preserve"> Popis procesu očkování.</w:t>
      </w:r>
    </w:p>
    <w:p w14:paraId="099EE8C3" w14:textId="77777777" w:rsidR="00E56FB2" w:rsidRPr="001F127D" w:rsidRDefault="00E56FB2" w:rsidP="00E8305F">
      <w:r w:rsidRPr="001F127D">
        <w:t>Předpoklad využití dalších personálních zdrojů mimo MZ ČR a krajské kapacity</w:t>
      </w:r>
    </w:p>
    <w:p w14:paraId="13888DD1" w14:textId="77777777" w:rsidR="009464FD" w:rsidRPr="001F127D" w:rsidRDefault="00E56FB2" w:rsidP="00E8305F">
      <w:r w:rsidRPr="001F127D">
        <w:t xml:space="preserve">S nasazením AČR se počítá v případě ustanovení a možném rozšíření </w:t>
      </w:r>
      <w:r w:rsidR="000946B6" w:rsidRPr="001F127D">
        <w:t>VOČM</w:t>
      </w:r>
      <w:r w:rsidRPr="001F127D">
        <w:t>, kdy bude AČR nasazena s</w:t>
      </w:r>
      <w:r w:rsidR="005A0C4A" w:rsidRPr="001F127D">
        <w:t> </w:t>
      </w:r>
      <w:r w:rsidRPr="001F127D">
        <w:t>cílem</w:t>
      </w:r>
      <w:r w:rsidR="005A0C4A" w:rsidRPr="001F127D">
        <w:t xml:space="preserve"> administrativní,</w:t>
      </w:r>
      <w:r w:rsidRPr="001F127D">
        <w:t xml:space="preserve"> organizační a technické podpory očkovacích týmů. </w:t>
      </w:r>
    </w:p>
    <w:p w14:paraId="30542F12" w14:textId="7BE822B6" w:rsidR="00E56FB2" w:rsidRPr="001F127D" w:rsidRDefault="00774794" w:rsidP="00E8305F">
      <w:r w:rsidRPr="001F127D">
        <w:t>Bude osloven</w:t>
      </w:r>
      <w:r w:rsidR="00E56FB2" w:rsidRPr="001F127D">
        <w:t xml:space="preserve"> Česk</w:t>
      </w:r>
      <w:r w:rsidRPr="001F127D">
        <w:t>ý</w:t>
      </w:r>
      <w:r w:rsidR="00E56FB2" w:rsidRPr="001F127D">
        <w:t xml:space="preserve"> červen</w:t>
      </w:r>
      <w:r w:rsidRPr="001F127D">
        <w:t>ý</w:t>
      </w:r>
      <w:r w:rsidR="00E56FB2" w:rsidRPr="001F127D">
        <w:t xml:space="preserve"> kříž, především jako administrativní podpora očkovacích týmů.</w:t>
      </w:r>
    </w:p>
    <w:p w14:paraId="289EA227" w14:textId="77777777" w:rsidR="00E56FB2" w:rsidRPr="001F127D" w:rsidRDefault="00E56FB2" w:rsidP="00E8305F">
      <w:r w:rsidRPr="001F127D">
        <w:t xml:space="preserve">S využitím HZS se prioritně nepočítá, a to především s ohledem na legislativní úpravu transportu a skladování léčivých přípravků, tj. očkovacích látek, které musí být přepravovány a skladovány v zařízeních k tomu určených. </w:t>
      </w:r>
    </w:p>
    <w:p w14:paraId="42ADC599" w14:textId="2F1DA829" w:rsidR="0077527E" w:rsidRPr="001F127D" w:rsidRDefault="00E56FB2" w:rsidP="00E8305F">
      <w:r w:rsidRPr="001F127D">
        <w:t>S využitím PČR se prioritně nepočítá</w:t>
      </w:r>
      <w:r w:rsidR="00774794" w:rsidRPr="001F127D">
        <w:t xml:space="preserve">. Je možné je na základě žádosti příslušného kraje využít například k organizaci dopravy v blízkosti </w:t>
      </w:r>
      <w:r w:rsidR="009464FD" w:rsidRPr="001F127D">
        <w:t>VOČM</w:t>
      </w:r>
      <w:r w:rsidR="00774794" w:rsidRPr="001F127D">
        <w:t xml:space="preserve"> apod.</w:t>
      </w:r>
      <w:r w:rsidR="0077527E" w:rsidRPr="001F127D">
        <w:t xml:space="preserve"> </w:t>
      </w:r>
    </w:p>
    <w:p w14:paraId="249BCC04" w14:textId="6C7A528A" w:rsidR="003B4596" w:rsidRPr="001F127D" w:rsidRDefault="003B4596" w:rsidP="00E8305F">
      <w:pPr>
        <w:pStyle w:val="Nadpis2"/>
        <w:numPr>
          <w:ilvl w:val="0"/>
          <w:numId w:val="42"/>
        </w:numPr>
        <w:ind w:left="322"/>
      </w:pPr>
      <w:r w:rsidRPr="001F127D">
        <w:t>Klíčové požadavky</w:t>
      </w:r>
      <w:r w:rsidR="00774794" w:rsidRPr="001F127D">
        <w:t xml:space="preserve"> vůči dalším institucím</w:t>
      </w:r>
    </w:p>
    <w:p w14:paraId="6BA70FCE" w14:textId="273E1AA8" w:rsidR="003B4596" w:rsidRPr="001F127D" w:rsidRDefault="00774794" w:rsidP="00346B23">
      <w:pPr>
        <w:pStyle w:val="Nadpis3"/>
      </w:pPr>
      <w:r w:rsidRPr="001F127D">
        <w:t>Meziresortní spolupráce</w:t>
      </w:r>
    </w:p>
    <w:p w14:paraId="03163E1D" w14:textId="241571F2" w:rsidR="00CF59EC" w:rsidRPr="001F127D" w:rsidRDefault="00CF59EC" w:rsidP="00346B23">
      <w:pPr>
        <w:pStyle w:val="Zkladntext1"/>
        <w:numPr>
          <w:ilvl w:val="0"/>
          <w:numId w:val="28"/>
        </w:numPr>
      </w:pPr>
      <w:r w:rsidRPr="001F127D">
        <w:t>Ministerstv</w:t>
      </w:r>
      <w:r w:rsidR="00774794" w:rsidRPr="001F127D">
        <w:t>o</w:t>
      </w:r>
      <w:r w:rsidRPr="001F127D">
        <w:t xml:space="preserve"> obrany</w:t>
      </w:r>
      <w:r w:rsidR="00BD0F93" w:rsidRPr="001F127D">
        <w:t xml:space="preserve"> ČR</w:t>
      </w:r>
      <w:r w:rsidRPr="001F127D">
        <w:t xml:space="preserve"> – zapojení AČR</w:t>
      </w:r>
    </w:p>
    <w:p w14:paraId="07597DC9" w14:textId="1E1A7D31" w:rsidR="00CF59EC" w:rsidRPr="001F127D" w:rsidRDefault="00774794" w:rsidP="00346B23">
      <w:pPr>
        <w:pStyle w:val="Zkladntext1"/>
        <w:numPr>
          <w:ilvl w:val="0"/>
          <w:numId w:val="28"/>
        </w:numPr>
      </w:pPr>
      <w:r w:rsidRPr="001F127D">
        <w:t>Ministerstvo práce a sociálních věcí</w:t>
      </w:r>
      <w:r w:rsidR="00BD0F93" w:rsidRPr="001F127D">
        <w:t xml:space="preserve"> ČR</w:t>
      </w:r>
      <w:r w:rsidR="00CF59EC" w:rsidRPr="001F127D">
        <w:t xml:space="preserve"> – </w:t>
      </w:r>
      <w:r w:rsidRPr="001F127D">
        <w:t xml:space="preserve">poskytování součinnosti krajským koordinátorům očkování při zajištění </w:t>
      </w:r>
      <w:r w:rsidR="00CF59EC" w:rsidRPr="001F127D">
        <w:t>očkování prioritních skupin, očkování v zařízeních sociální péče</w:t>
      </w:r>
      <w:r w:rsidR="005824EF" w:rsidRPr="001F127D">
        <w:t>,</w:t>
      </w:r>
    </w:p>
    <w:p w14:paraId="0F3B31AF" w14:textId="4CE86BE5" w:rsidR="00CF59EC" w:rsidRPr="001F127D" w:rsidRDefault="005824EF" w:rsidP="00346B23">
      <w:pPr>
        <w:pStyle w:val="Zkladntext1"/>
        <w:numPr>
          <w:ilvl w:val="0"/>
          <w:numId w:val="28"/>
        </w:numPr>
      </w:pPr>
      <w:r w:rsidRPr="001F127D">
        <w:t>Ministerstvo školství, mládeže a tělovýchovy</w:t>
      </w:r>
      <w:r w:rsidR="00BD0F93" w:rsidRPr="001F127D">
        <w:t xml:space="preserve"> ČR</w:t>
      </w:r>
      <w:r w:rsidR="00CF59EC" w:rsidRPr="001F127D">
        <w:t xml:space="preserve"> – </w:t>
      </w:r>
      <w:r w:rsidRPr="001F127D">
        <w:t xml:space="preserve">poskytování součinnosti krajským koordinátorům očkování při zajištění </w:t>
      </w:r>
      <w:r w:rsidR="00CF59EC" w:rsidRPr="001F127D">
        <w:t xml:space="preserve">očkování pedagogického personálu </w:t>
      </w:r>
      <w:r w:rsidR="008A6285" w:rsidRPr="001F127D">
        <w:t>a dalších zaměstnanců pedagogických zařízení, kteří se podílí na vyučování</w:t>
      </w:r>
      <w:r w:rsidRPr="001F127D">
        <w:t>.</w:t>
      </w:r>
    </w:p>
    <w:p w14:paraId="23EBDB56" w14:textId="71A5306D" w:rsidR="008A6285" w:rsidRPr="001F127D" w:rsidRDefault="005824EF" w:rsidP="00346B23">
      <w:pPr>
        <w:pStyle w:val="Zkladntext1"/>
        <w:numPr>
          <w:ilvl w:val="0"/>
          <w:numId w:val="28"/>
        </w:numPr>
      </w:pPr>
      <w:r w:rsidRPr="001F127D">
        <w:t>Spolupráce s dalšími subjekty</w:t>
      </w:r>
      <w:r w:rsidR="00152972" w:rsidRPr="001F127D">
        <w:t>:</w:t>
      </w:r>
      <w:r w:rsidR="008A6285" w:rsidRPr="001F127D">
        <w:t xml:space="preserve"> </w:t>
      </w:r>
    </w:p>
    <w:p w14:paraId="6CEDD0BE" w14:textId="1C07E9D3" w:rsidR="00CF59EC" w:rsidRPr="001F127D" w:rsidRDefault="008A6285" w:rsidP="00346B23">
      <w:pPr>
        <w:pStyle w:val="Zkladntext1"/>
        <w:numPr>
          <w:ilvl w:val="0"/>
          <w:numId w:val="28"/>
        </w:numPr>
      </w:pPr>
      <w:r w:rsidRPr="001F127D">
        <w:t>Sekce nemocničních lékárníků – vzdělávání personálu lékáren</w:t>
      </w:r>
    </w:p>
    <w:p w14:paraId="7A6DF33B" w14:textId="6EC1DCE1" w:rsidR="00FA46C5" w:rsidRPr="001F127D" w:rsidRDefault="008A6285" w:rsidP="00346B23">
      <w:pPr>
        <w:pStyle w:val="Zkladntext1"/>
        <w:numPr>
          <w:ilvl w:val="0"/>
          <w:numId w:val="28"/>
        </w:numPr>
      </w:pPr>
      <w:r w:rsidRPr="001F127D">
        <w:t>Sdružení praktických lékařů ČR –</w:t>
      </w:r>
      <w:r w:rsidR="005824EF" w:rsidRPr="001F127D">
        <w:t xml:space="preserve"> organizace </w:t>
      </w:r>
      <w:r w:rsidRPr="001F127D">
        <w:t>zapojení praktických lékařů do všech fází očkování</w:t>
      </w:r>
    </w:p>
    <w:p w14:paraId="1EC5B2F2" w14:textId="20E41EFD" w:rsidR="008A6285" w:rsidRPr="001F127D" w:rsidRDefault="008A6285" w:rsidP="00346B23">
      <w:pPr>
        <w:pStyle w:val="Zkladntext1"/>
        <w:numPr>
          <w:ilvl w:val="0"/>
          <w:numId w:val="28"/>
        </w:numPr>
      </w:pPr>
      <w:r w:rsidRPr="001F127D">
        <w:lastRenderedPageBreak/>
        <w:t xml:space="preserve">Sdružení praktických lékařů pro děti a dorost ČR – </w:t>
      </w:r>
      <w:r w:rsidR="005824EF" w:rsidRPr="001F127D">
        <w:t xml:space="preserve">organizace </w:t>
      </w:r>
      <w:r w:rsidRPr="001F127D">
        <w:t>zapojení PLDD do očkování</w:t>
      </w:r>
    </w:p>
    <w:p w14:paraId="3128D1D7" w14:textId="24A5265C" w:rsidR="008A6285" w:rsidRPr="001F127D" w:rsidRDefault="008A6285" w:rsidP="00346B23">
      <w:pPr>
        <w:pStyle w:val="Zkladntext1"/>
        <w:numPr>
          <w:ilvl w:val="0"/>
          <w:numId w:val="28"/>
        </w:numPr>
      </w:pPr>
      <w:r w:rsidRPr="001F127D">
        <w:t>Sdružení ambulantních specialistů ČR – zapojení ambulantních specialistů do očkování</w:t>
      </w:r>
    </w:p>
    <w:p w14:paraId="337EDB0A" w14:textId="03DCB83C" w:rsidR="00FA46C5" w:rsidRPr="001F127D" w:rsidRDefault="00FA46C5" w:rsidP="00346B23">
      <w:pPr>
        <w:pStyle w:val="Zkladntext1"/>
        <w:numPr>
          <w:ilvl w:val="0"/>
          <w:numId w:val="28"/>
        </w:numPr>
      </w:pPr>
      <w:r w:rsidRPr="001F127D">
        <w:t xml:space="preserve">Česká </w:t>
      </w:r>
      <w:proofErr w:type="spellStart"/>
      <w:r w:rsidR="008A6285" w:rsidRPr="001F127D">
        <w:t>vakcinologická</w:t>
      </w:r>
      <w:proofErr w:type="spellEnd"/>
      <w:r w:rsidR="008A6285" w:rsidRPr="001F127D">
        <w:t xml:space="preserve"> společnost ČLS JEP – vzdělávání očkujících, vydávání odborných stanovisek, spolupráce na komunikaci </w:t>
      </w:r>
      <w:r w:rsidRPr="001F127D">
        <w:t xml:space="preserve"> </w:t>
      </w:r>
    </w:p>
    <w:p w14:paraId="24A5D43E" w14:textId="5F1AFEAD" w:rsidR="00FA46C5" w:rsidRPr="001F127D" w:rsidRDefault="00FA46C5" w:rsidP="00346B23">
      <w:pPr>
        <w:pStyle w:val="Zkladntext1"/>
        <w:numPr>
          <w:ilvl w:val="0"/>
          <w:numId w:val="28"/>
        </w:numPr>
      </w:pPr>
      <w:r w:rsidRPr="001F127D">
        <w:t xml:space="preserve">ČLS JEP – </w:t>
      </w:r>
      <w:r w:rsidR="00352819" w:rsidRPr="001F127D">
        <w:t xml:space="preserve">informování odborné veřejnosti, chronicky nemocných pacientů, vzdělávání </w:t>
      </w:r>
    </w:p>
    <w:p w14:paraId="08CC1E8D" w14:textId="2C8E6B4D" w:rsidR="00FA46C5" w:rsidRPr="001F127D" w:rsidRDefault="00FA46C5" w:rsidP="00346B23">
      <w:pPr>
        <w:pStyle w:val="Zkladntext1"/>
        <w:numPr>
          <w:ilvl w:val="0"/>
          <w:numId w:val="28"/>
        </w:numPr>
      </w:pPr>
      <w:r w:rsidRPr="001F127D">
        <w:t xml:space="preserve">Asociace krajů </w:t>
      </w:r>
      <w:r w:rsidR="00352819" w:rsidRPr="001F127D">
        <w:t>České republiky – spolupráce mezi MZ</w:t>
      </w:r>
      <w:r w:rsidR="00846B34" w:rsidRPr="001F127D">
        <w:t xml:space="preserve"> ČR</w:t>
      </w:r>
      <w:r w:rsidR="00352819" w:rsidRPr="001F127D">
        <w:t>, zdravotními pojišťovnami, kraji v otázkách koordinace a řízení očkovací kampaně</w:t>
      </w:r>
    </w:p>
    <w:p w14:paraId="19BCBA67" w14:textId="6A859D4F" w:rsidR="00FA46C5" w:rsidRPr="001F127D" w:rsidRDefault="00FA46C5" w:rsidP="00346B23">
      <w:pPr>
        <w:pStyle w:val="Zkladntext1"/>
        <w:numPr>
          <w:ilvl w:val="0"/>
          <w:numId w:val="28"/>
        </w:numPr>
      </w:pPr>
      <w:r w:rsidRPr="001F127D">
        <w:t>Zdra</w:t>
      </w:r>
      <w:r w:rsidR="00352819" w:rsidRPr="001F127D">
        <w:t>votní pojišťovny – finanční zajištění očkovací kampaně, výběr distributorů, atd.</w:t>
      </w:r>
    </w:p>
    <w:p w14:paraId="7847B737" w14:textId="1C5A418C" w:rsidR="00FA46C5" w:rsidRPr="001F127D" w:rsidRDefault="00352819" w:rsidP="00346B23">
      <w:pPr>
        <w:pStyle w:val="Zkladntext1"/>
        <w:numPr>
          <w:ilvl w:val="0"/>
          <w:numId w:val="28"/>
        </w:numPr>
      </w:pPr>
      <w:r w:rsidRPr="001F127D">
        <w:t xml:space="preserve">Asociace poskytovatelů sociálních služeb ČR – </w:t>
      </w:r>
      <w:r w:rsidR="005824EF" w:rsidRPr="001F127D">
        <w:t xml:space="preserve">spolupráce při koordinaci </w:t>
      </w:r>
      <w:r w:rsidRPr="001F127D">
        <w:t xml:space="preserve">očkování </w:t>
      </w:r>
      <w:r w:rsidR="000364E3" w:rsidRPr="001F127D">
        <w:t>klientů a zaměstnanců sociálních služeb</w:t>
      </w:r>
    </w:p>
    <w:p w14:paraId="724CA2DA" w14:textId="4C1F5E32" w:rsidR="00FA46C5" w:rsidRPr="001F127D" w:rsidRDefault="00FA46C5" w:rsidP="00346B23">
      <w:pPr>
        <w:pStyle w:val="Zkladntext1"/>
        <w:numPr>
          <w:ilvl w:val="0"/>
          <w:numId w:val="28"/>
        </w:numPr>
      </w:pPr>
      <w:r w:rsidRPr="001F127D">
        <w:t xml:space="preserve">Pacientské organizace </w:t>
      </w:r>
      <w:r w:rsidR="000364E3" w:rsidRPr="001F127D">
        <w:t>– informování ohrožených skupin o očkování</w:t>
      </w:r>
    </w:p>
    <w:p w14:paraId="0110785D" w14:textId="18D72C31" w:rsidR="00FA46C5" w:rsidRPr="001F127D" w:rsidRDefault="000364E3" w:rsidP="00346B23">
      <w:pPr>
        <w:pStyle w:val="Zkladntext1"/>
        <w:numPr>
          <w:ilvl w:val="0"/>
          <w:numId w:val="28"/>
        </w:numPr>
      </w:pPr>
      <w:r w:rsidRPr="001F127D">
        <w:t>Zaměstnavatelské svazy</w:t>
      </w:r>
      <w:r w:rsidR="004A07E4" w:rsidRPr="001F127D">
        <w:t>, velcí zaměstnavatelé</w:t>
      </w:r>
      <w:r w:rsidR="00152972" w:rsidRPr="001F127D">
        <w:t xml:space="preserve"> – </w:t>
      </w:r>
      <w:r w:rsidR="00251F75" w:rsidRPr="001F127D">
        <w:t>spolupráce na očkování zaměstnanců velkých zaměstnav</w:t>
      </w:r>
      <w:r w:rsidR="004A07E4" w:rsidRPr="001F127D">
        <w:t>atelů</w:t>
      </w:r>
      <w:r w:rsidR="00251F75" w:rsidRPr="001F127D">
        <w:t xml:space="preserve"> ve fázi II, tj. mimo DOČM a OČM </w:t>
      </w:r>
    </w:p>
    <w:p w14:paraId="6FE6424D" w14:textId="4736A6B7" w:rsidR="00FA46C5" w:rsidRPr="001F127D" w:rsidRDefault="00346B23" w:rsidP="00346B23">
      <w:pPr>
        <w:pStyle w:val="Nadpis1"/>
        <w:ind w:left="284" w:hanging="284"/>
      </w:pPr>
      <w:r>
        <w:t>Přílohy</w:t>
      </w:r>
    </w:p>
    <w:p w14:paraId="6F8A7EDB" w14:textId="77777777" w:rsidR="003B4596" w:rsidRPr="001F127D" w:rsidRDefault="003B4596" w:rsidP="00346B23">
      <w:pPr>
        <w:pStyle w:val="Odstavecseseznamem"/>
        <w:ind w:left="0"/>
      </w:pPr>
      <w:r w:rsidRPr="001F127D">
        <w:t xml:space="preserve">Příloha 1 – Popis procesu očkování </w:t>
      </w:r>
    </w:p>
    <w:p w14:paraId="2F3178BE" w14:textId="57853450" w:rsidR="003B4596" w:rsidRPr="001F127D" w:rsidRDefault="003B4596" w:rsidP="00346B23">
      <w:pPr>
        <w:pStyle w:val="Odstavecseseznamem"/>
        <w:ind w:left="0"/>
      </w:pPr>
      <w:r w:rsidRPr="001F127D">
        <w:t>Příloha 2 – Logistick</w:t>
      </w:r>
      <w:r w:rsidR="00EF52FB" w:rsidRPr="001F127D">
        <w:t>é zabezpečení</w:t>
      </w:r>
    </w:p>
    <w:p w14:paraId="17F1DB21" w14:textId="77777777" w:rsidR="003B4596" w:rsidRPr="001F127D" w:rsidRDefault="003B4596" w:rsidP="00346B23">
      <w:pPr>
        <w:pStyle w:val="Odstavecseseznamem"/>
        <w:ind w:left="0"/>
      </w:pPr>
      <w:r w:rsidRPr="001F127D">
        <w:t xml:space="preserve">Příloha 3 – Finanční zabezpečení </w:t>
      </w:r>
    </w:p>
    <w:p w14:paraId="34704D1E" w14:textId="77777777" w:rsidR="003B4596" w:rsidRPr="001F127D" w:rsidRDefault="003B4596" w:rsidP="00346B23">
      <w:pPr>
        <w:pStyle w:val="Odstavecseseznamem"/>
        <w:ind w:left="0"/>
      </w:pPr>
      <w:r w:rsidRPr="001F127D">
        <w:t>Příloha 4 – IT podpora</w:t>
      </w:r>
    </w:p>
    <w:p w14:paraId="5399CA8F" w14:textId="583D5D53" w:rsidR="003B4596" w:rsidRPr="001F127D" w:rsidRDefault="003B4596" w:rsidP="00346B23">
      <w:pPr>
        <w:pStyle w:val="Odstavecseseznamem"/>
        <w:ind w:left="0"/>
      </w:pPr>
      <w:r w:rsidRPr="001F127D">
        <w:t xml:space="preserve">Příloha 5 – </w:t>
      </w:r>
      <w:r w:rsidR="00346B23">
        <w:t>Mediální a informační podpora</w:t>
      </w:r>
    </w:p>
    <w:sectPr w:rsidR="003B4596" w:rsidRPr="001F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9C8E" w14:textId="77777777" w:rsidR="00957CB4" w:rsidRDefault="00957CB4" w:rsidP="001F127D">
      <w:r>
        <w:separator/>
      </w:r>
    </w:p>
  </w:endnote>
  <w:endnote w:type="continuationSeparator" w:id="0">
    <w:p w14:paraId="4AAC3BE0" w14:textId="77777777" w:rsidR="00957CB4" w:rsidRDefault="00957CB4" w:rsidP="001F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626405"/>
      <w:docPartObj>
        <w:docPartGallery w:val="Page Numbers (Bottom of Page)"/>
        <w:docPartUnique/>
      </w:docPartObj>
    </w:sdtPr>
    <w:sdtEndPr/>
    <w:sdtContent>
      <w:p w14:paraId="1C727E33" w14:textId="78C0C18E" w:rsidR="00414E87" w:rsidRDefault="00414E87" w:rsidP="001F12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97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9D8C" w14:textId="77777777" w:rsidR="00957CB4" w:rsidRDefault="00957CB4" w:rsidP="001F127D">
      <w:r>
        <w:separator/>
      </w:r>
    </w:p>
  </w:footnote>
  <w:footnote w:type="continuationSeparator" w:id="0">
    <w:p w14:paraId="18B64C14" w14:textId="77777777" w:rsidR="00957CB4" w:rsidRDefault="00957CB4" w:rsidP="001F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5422"/>
    <w:multiLevelType w:val="hybridMultilevel"/>
    <w:tmpl w:val="F328E050"/>
    <w:lvl w:ilvl="0" w:tplc="0854E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F1BDF"/>
    <w:multiLevelType w:val="hybridMultilevel"/>
    <w:tmpl w:val="C20AA74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FBB3807"/>
    <w:multiLevelType w:val="hybridMultilevel"/>
    <w:tmpl w:val="AB78AE82"/>
    <w:lvl w:ilvl="0" w:tplc="5AC48B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087E"/>
    <w:multiLevelType w:val="hybridMultilevel"/>
    <w:tmpl w:val="D7DC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311D"/>
    <w:multiLevelType w:val="multilevel"/>
    <w:tmpl w:val="E76241E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14FF2FA3"/>
    <w:multiLevelType w:val="hybridMultilevel"/>
    <w:tmpl w:val="6C407242"/>
    <w:lvl w:ilvl="0" w:tplc="0854E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D52E8"/>
    <w:multiLevelType w:val="hybridMultilevel"/>
    <w:tmpl w:val="C29A1F2C"/>
    <w:lvl w:ilvl="0" w:tplc="2E0281E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BA6427DA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331280D6"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26AE55BC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A17C850A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3CEEE508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0C2AE13E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A998CAFA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8BE0891E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7" w15:restartNumberingAfterBreak="0">
    <w:nsid w:val="1F011CF5"/>
    <w:multiLevelType w:val="hybridMultilevel"/>
    <w:tmpl w:val="4B929AEE"/>
    <w:lvl w:ilvl="0" w:tplc="26561492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8AE85606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B6C890EC"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173A73DA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F6C6B294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70AE3A4A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731C89F4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BE4AD72A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0B9245CE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8" w15:restartNumberingAfterBreak="0">
    <w:nsid w:val="22BB206E"/>
    <w:multiLevelType w:val="hybridMultilevel"/>
    <w:tmpl w:val="A89ABF70"/>
    <w:lvl w:ilvl="0" w:tplc="CF18464A">
      <w:start w:val="1"/>
      <w:numFmt w:val="decimal"/>
      <w:pStyle w:val="Nadpis1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B7A24"/>
    <w:multiLevelType w:val="hybridMultilevel"/>
    <w:tmpl w:val="1A40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164D"/>
    <w:multiLevelType w:val="hybridMultilevel"/>
    <w:tmpl w:val="18608E58"/>
    <w:lvl w:ilvl="0" w:tplc="0854E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F6FAF"/>
    <w:multiLevelType w:val="hybridMultilevel"/>
    <w:tmpl w:val="FA9CF090"/>
    <w:lvl w:ilvl="0" w:tplc="5146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D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03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4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AE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C2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CE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23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F7F8C"/>
    <w:multiLevelType w:val="hybridMultilevel"/>
    <w:tmpl w:val="E81AC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4CC5"/>
    <w:multiLevelType w:val="hybridMultilevel"/>
    <w:tmpl w:val="CE8A1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432"/>
    <w:multiLevelType w:val="hybridMultilevel"/>
    <w:tmpl w:val="3AD69F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A96905"/>
    <w:multiLevelType w:val="hybridMultilevel"/>
    <w:tmpl w:val="492C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4DB3"/>
    <w:multiLevelType w:val="hybridMultilevel"/>
    <w:tmpl w:val="FB966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6127F"/>
    <w:multiLevelType w:val="hybridMultilevel"/>
    <w:tmpl w:val="91306864"/>
    <w:lvl w:ilvl="0" w:tplc="5E4AC25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11CE4"/>
    <w:multiLevelType w:val="multilevel"/>
    <w:tmpl w:val="0970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EBB7119"/>
    <w:multiLevelType w:val="hybridMultilevel"/>
    <w:tmpl w:val="167E2B8E"/>
    <w:lvl w:ilvl="0" w:tplc="0854E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E3C4B"/>
    <w:multiLevelType w:val="multilevel"/>
    <w:tmpl w:val="B330AF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2912A33"/>
    <w:multiLevelType w:val="hybridMultilevel"/>
    <w:tmpl w:val="313C3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2D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03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4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AE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C2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CE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23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31B9"/>
    <w:multiLevelType w:val="hybridMultilevel"/>
    <w:tmpl w:val="89109AF8"/>
    <w:lvl w:ilvl="0" w:tplc="0854E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15E7"/>
    <w:multiLevelType w:val="hybridMultilevel"/>
    <w:tmpl w:val="FB187ACE"/>
    <w:lvl w:ilvl="0" w:tplc="BA6EA4DC">
      <w:start w:val="1"/>
      <w:numFmt w:val="upperLetter"/>
      <w:pStyle w:val="Nadpis2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5F44B2"/>
    <w:multiLevelType w:val="hybridMultilevel"/>
    <w:tmpl w:val="FA9CF090"/>
    <w:lvl w:ilvl="0" w:tplc="5146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D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03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4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AE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C2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CE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23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22"/>
  </w:num>
  <w:num w:numId="7">
    <w:abstractNumId w:val="10"/>
  </w:num>
  <w:num w:numId="8">
    <w:abstractNumId w:val="19"/>
  </w:num>
  <w:num w:numId="9">
    <w:abstractNumId w:val="5"/>
  </w:num>
  <w:num w:numId="10">
    <w:abstractNumId w:val="0"/>
  </w:num>
  <w:num w:numId="11">
    <w:abstractNumId w:val="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6"/>
  </w:num>
  <w:num w:numId="23">
    <w:abstractNumId w:val="24"/>
  </w:num>
  <w:num w:numId="24">
    <w:abstractNumId w:val="14"/>
  </w:num>
  <w:num w:numId="25">
    <w:abstractNumId w:val="21"/>
  </w:num>
  <w:num w:numId="26">
    <w:abstractNumId w:val="1"/>
  </w:num>
  <w:num w:numId="27">
    <w:abstractNumId w:val="12"/>
  </w:num>
  <w:num w:numId="28">
    <w:abstractNumId w:val="13"/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15"/>
  </w:num>
  <w:num w:numId="35">
    <w:abstractNumId w:val="23"/>
  </w:num>
  <w:num w:numId="36">
    <w:abstractNumId w:val="23"/>
  </w:num>
  <w:num w:numId="37">
    <w:abstractNumId w:val="23"/>
    <w:lvlOverride w:ilvl="0">
      <w:startOverride w:val="1"/>
    </w:lvlOverride>
  </w:num>
  <w:num w:numId="38">
    <w:abstractNumId w:val="8"/>
  </w:num>
  <w:num w:numId="39">
    <w:abstractNumId w:val="8"/>
  </w:num>
  <w:num w:numId="40">
    <w:abstractNumId w:val="8"/>
  </w:num>
  <w:num w:numId="41">
    <w:abstractNumId w:val="23"/>
  </w:num>
  <w:num w:numId="42">
    <w:abstractNumId w:val="23"/>
    <w:lvlOverride w:ilvl="0">
      <w:startOverride w:val="1"/>
    </w:lvlOverride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70"/>
    <w:rsid w:val="00024DF7"/>
    <w:rsid w:val="000262D0"/>
    <w:rsid w:val="00032216"/>
    <w:rsid w:val="00032FC3"/>
    <w:rsid w:val="00035B6D"/>
    <w:rsid w:val="000364E3"/>
    <w:rsid w:val="000429D1"/>
    <w:rsid w:val="000604CB"/>
    <w:rsid w:val="00066A8B"/>
    <w:rsid w:val="00071377"/>
    <w:rsid w:val="00084BB8"/>
    <w:rsid w:val="00090DBD"/>
    <w:rsid w:val="00091683"/>
    <w:rsid w:val="000946B6"/>
    <w:rsid w:val="000A0E64"/>
    <w:rsid w:val="000B5DED"/>
    <w:rsid w:val="000C03C3"/>
    <w:rsid w:val="000C137E"/>
    <w:rsid w:val="000C4C4C"/>
    <w:rsid w:val="000C6BC0"/>
    <w:rsid w:val="000D385F"/>
    <w:rsid w:val="000E5782"/>
    <w:rsid w:val="000F0A8A"/>
    <w:rsid w:val="0010057E"/>
    <w:rsid w:val="00115E58"/>
    <w:rsid w:val="00117FBD"/>
    <w:rsid w:val="00126A67"/>
    <w:rsid w:val="00130C73"/>
    <w:rsid w:val="00133DBE"/>
    <w:rsid w:val="00142BB1"/>
    <w:rsid w:val="00143EF8"/>
    <w:rsid w:val="00152972"/>
    <w:rsid w:val="001553E8"/>
    <w:rsid w:val="001634E9"/>
    <w:rsid w:val="00166A07"/>
    <w:rsid w:val="001716EE"/>
    <w:rsid w:val="00190CE9"/>
    <w:rsid w:val="001975FF"/>
    <w:rsid w:val="001A4B13"/>
    <w:rsid w:val="001C0660"/>
    <w:rsid w:val="001C15DD"/>
    <w:rsid w:val="001C19CB"/>
    <w:rsid w:val="001C7DBE"/>
    <w:rsid w:val="001D3768"/>
    <w:rsid w:val="001D3EA8"/>
    <w:rsid w:val="001D4375"/>
    <w:rsid w:val="001E035C"/>
    <w:rsid w:val="001F127D"/>
    <w:rsid w:val="001F6A3C"/>
    <w:rsid w:val="001F7242"/>
    <w:rsid w:val="002021A0"/>
    <w:rsid w:val="002078EC"/>
    <w:rsid w:val="00212FA2"/>
    <w:rsid w:val="00222719"/>
    <w:rsid w:val="00236C64"/>
    <w:rsid w:val="0024313A"/>
    <w:rsid w:val="002514BE"/>
    <w:rsid w:val="00251F20"/>
    <w:rsid w:val="00251F75"/>
    <w:rsid w:val="00262436"/>
    <w:rsid w:val="002645FD"/>
    <w:rsid w:val="00271FC2"/>
    <w:rsid w:val="00274CB5"/>
    <w:rsid w:val="002753A3"/>
    <w:rsid w:val="00290B85"/>
    <w:rsid w:val="002A254D"/>
    <w:rsid w:val="002A30F4"/>
    <w:rsid w:val="002B10D5"/>
    <w:rsid w:val="002B26B5"/>
    <w:rsid w:val="002C5653"/>
    <w:rsid w:val="002E3FD6"/>
    <w:rsid w:val="002F6880"/>
    <w:rsid w:val="003044C5"/>
    <w:rsid w:val="00306109"/>
    <w:rsid w:val="0031217A"/>
    <w:rsid w:val="00317DF3"/>
    <w:rsid w:val="00324BB1"/>
    <w:rsid w:val="00330DB6"/>
    <w:rsid w:val="003369C8"/>
    <w:rsid w:val="00342F90"/>
    <w:rsid w:val="00346B23"/>
    <w:rsid w:val="00350FC3"/>
    <w:rsid w:val="00352819"/>
    <w:rsid w:val="00376970"/>
    <w:rsid w:val="003775CB"/>
    <w:rsid w:val="003802A2"/>
    <w:rsid w:val="00386FD6"/>
    <w:rsid w:val="00397929"/>
    <w:rsid w:val="003B265A"/>
    <w:rsid w:val="003B36F4"/>
    <w:rsid w:val="003B4596"/>
    <w:rsid w:val="003B534D"/>
    <w:rsid w:val="003B71A9"/>
    <w:rsid w:val="003B7D03"/>
    <w:rsid w:val="003C052C"/>
    <w:rsid w:val="003C3367"/>
    <w:rsid w:val="003C44D8"/>
    <w:rsid w:val="003C7259"/>
    <w:rsid w:val="003D46C9"/>
    <w:rsid w:val="003D50D2"/>
    <w:rsid w:val="003E1616"/>
    <w:rsid w:val="003E2BD3"/>
    <w:rsid w:val="003F4C99"/>
    <w:rsid w:val="00405015"/>
    <w:rsid w:val="004061FC"/>
    <w:rsid w:val="004139A6"/>
    <w:rsid w:val="00414E87"/>
    <w:rsid w:val="004222B6"/>
    <w:rsid w:val="00434189"/>
    <w:rsid w:val="00434812"/>
    <w:rsid w:val="00434943"/>
    <w:rsid w:val="00435812"/>
    <w:rsid w:val="00440E6E"/>
    <w:rsid w:val="00441F26"/>
    <w:rsid w:val="00447D67"/>
    <w:rsid w:val="00462156"/>
    <w:rsid w:val="0047032D"/>
    <w:rsid w:val="004719A2"/>
    <w:rsid w:val="0048415A"/>
    <w:rsid w:val="00487B3B"/>
    <w:rsid w:val="004A07E4"/>
    <w:rsid w:val="004A3732"/>
    <w:rsid w:val="004B1367"/>
    <w:rsid w:val="004C080C"/>
    <w:rsid w:val="004C6804"/>
    <w:rsid w:val="004C697E"/>
    <w:rsid w:val="004C6C29"/>
    <w:rsid w:val="004D2424"/>
    <w:rsid w:val="004E1707"/>
    <w:rsid w:val="004E1F31"/>
    <w:rsid w:val="004E5A24"/>
    <w:rsid w:val="004F64F8"/>
    <w:rsid w:val="005064E9"/>
    <w:rsid w:val="005133EB"/>
    <w:rsid w:val="00525E5E"/>
    <w:rsid w:val="00536F5A"/>
    <w:rsid w:val="00547BBF"/>
    <w:rsid w:val="00555F8A"/>
    <w:rsid w:val="00577BC8"/>
    <w:rsid w:val="005824EF"/>
    <w:rsid w:val="00594A74"/>
    <w:rsid w:val="005960E0"/>
    <w:rsid w:val="005A0C4A"/>
    <w:rsid w:val="005A0F70"/>
    <w:rsid w:val="005A6353"/>
    <w:rsid w:val="005B03F8"/>
    <w:rsid w:val="005B0C24"/>
    <w:rsid w:val="005B2854"/>
    <w:rsid w:val="005B345E"/>
    <w:rsid w:val="005C2B49"/>
    <w:rsid w:val="005C3BF8"/>
    <w:rsid w:val="005C46AF"/>
    <w:rsid w:val="005E05DA"/>
    <w:rsid w:val="005E149C"/>
    <w:rsid w:val="005F64CD"/>
    <w:rsid w:val="00600DAF"/>
    <w:rsid w:val="00603845"/>
    <w:rsid w:val="0060406C"/>
    <w:rsid w:val="00607CF2"/>
    <w:rsid w:val="00621736"/>
    <w:rsid w:val="00633330"/>
    <w:rsid w:val="006359A8"/>
    <w:rsid w:val="00636F31"/>
    <w:rsid w:val="0065352A"/>
    <w:rsid w:val="00660022"/>
    <w:rsid w:val="00674FB3"/>
    <w:rsid w:val="006760D4"/>
    <w:rsid w:val="006A23E3"/>
    <w:rsid w:val="006A4862"/>
    <w:rsid w:val="006B1F88"/>
    <w:rsid w:val="006D4F13"/>
    <w:rsid w:val="006E0574"/>
    <w:rsid w:val="007122C8"/>
    <w:rsid w:val="007263CD"/>
    <w:rsid w:val="00745986"/>
    <w:rsid w:val="00747BB8"/>
    <w:rsid w:val="0075194B"/>
    <w:rsid w:val="00751F88"/>
    <w:rsid w:val="00752B83"/>
    <w:rsid w:val="00753B04"/>
    <w:rsid w:val="007650A6"/>
    <w:rsid w:val="00774794"/>
    <w:rsid w:val="0077527E"/>
    <w:rsid w:val="00780D80"/>
    <w:rsid w:val="00781ED5"/>
    <w:rsid w:val="0079196A"/>
    <w:rsid w:val="007A3965"/>
    <w:rsid w:val="007B5CFA"/>
    <w:rsid w:val="007B6138"/>
    <w:rsid w:val="007B6921"/>
    <w:rsid w:val="007C1BE7"/>
    <w:rsid w:val="007C25E8"/>
    <w:rsid w:val="007C55E7"/>
    <w:rsid w:val="007D03AD"/>
    <w:rsid w:val="007D74C7"/>
    <w:rsid w:val="007E68A0"/>
    <w:rsid w:val="007F3834"/>
    <w:rsid w:val="007F450C"/>
    <w:rsid w:val="008207AC"/>
    <w:rsid w:val="008209A5"/>
    <w:rsid w:val="00821E06"/>
    <w:rsid w:val="008261E4"/>
    <w:rsid w:val="008375EF"/>
    <w:rsid w:val="00846B34"/>
    <w:rsid w:val="008479CE"/>
    <w:rsid w:val="0085104C"/>
    <w:rsid w:val="00884365"/>
    <w:rsid w:val="00884779"/>
    <w:rsid w:val="00893384"/>
    <w:rsid w:val="008A6285"/>
    <w:rsid w:val="008B0C55"/>
    <w:rsid w:val="008B66F2"/>
    <w:rsid w:val="008C3B7B"/>
    <w:rsid w:val="008C64B5"/>
    <w:rsid w:val="008D1916"/>
    <w:rsid w:val="008D34E9"/>
    <w:rsid w:val="008D5839"/>
    <w:rsid w:val="008E0867"/>
    <w:rsid w:val="008E5677"/>
    <w:rsid w:val="008E5BCF"/>
    <w:rsid w:val="008F1B71"/>
    <w:rsid w:val="008F35C7"/>
    <w:rsid w:val="008F4985"/>
    <w:rsid w:val="0090446B"/>
    <w:rsid w:val="0090699D"/>
    <w:rsid w:val="00913998"/>
    <w:rsid w:val="00913C94"/>
    <w:rsid w:val="00914C8D"/>
    <w:rsid w:val="0092432F"/>
    <w:rsid w:val="00924731"/>
    <w:rsid w:val="009266D4"/>
    <w:rsid w:val="00930099"/>
    <w:rsid w:val="00931753"/>
    <w:rsid w:val="0093749E"/>
    <w:rsid w:val="00946473"/>
    <w:rsid w:val="009464FD"/>
    <w:rsid w:val="009527CC"/>
    <w:rsid w:val="009546A9"/>
    <w:rsid w:val="00957CB4"/>
    <w:rsid w:val="00957DE4"/>
    <w:rsid w:val="00972CA4"/>
    <w:rsid w:val="00984737"/>
    <w:rsid w:val="00986729"/>
    <w:rsid w:val="009A4810"/>
    <w:rsid w:val="009B287E"/>
    <w:rsid w:val="009B7AA0"/>
    <w:rsid w:val="009C2672"/>
    <w:rsid w:val="009C5CB0"/>
    <w:rsid w:val="009D07B9"/>
    <w:rsid w:val="009D0B4B"/>
    <w:rsid w:val="009D5E8A"/>
    <w:rsid w:val="009D6D9C"/>
    <w:rsid w:val="009E053E"/>
    <w:rsid w:val="009E18C8"/>
    <w:rsid w:val="009E387F"/>
    <w:rsid w:val="009F0474"/>
    <w:rsid w:val="00A00569"/>
    <w:rsid w:val="00A05014"/>
    <w:rsid w:val="00A163D5"/>
    <w:rsid w:val="00A21ED9"/>
    <w:rsid w:val="00A22C29"/>
    <w:rsid w:val="00A24B0A"/>
    <w:rsid w:val="00A266D6"/>
    <w:rsid w:val="00A3391D"/>
    <w:rsid w:val="00A46DA3"/>
    <w:rsid w:val="00A57C32"/>
    <w:rsid w:val="00A605FF"/>
    <w:rsid w:val="00A628D9"/>
    <w:rsid w:val="00A664FF"/>
    <w:rsid w:val="00A70ABE"/>
    <w:rsid w:val="00A842B4"/>
    <w:rsid w:val="00A84310"/>
    <w:rsid w:val="00A85177"/>
    <w:rsid w:val="00A9007B"/>
    <w:rsid w:val="00A95DD3"/>
    <w:rsid w:val="00AB0521"/>
    <w:rsid w:val="00AB6D82"/>
    <w:rsid w:val="00AC2635"/>
    <w:rsid w:val="00AC3A56"/>
    <w:rsid w:val="00AD377F"/>
    <w:rsid w:val="00AE033B"/>
    <w:rsid w:val="00AE31CA"/>
    <w:rsid w:val="00AF5219"/>
    <w:rsid w:val="00B019B3"/>
    <w:rsid w:val="00B03207"/>
    <w:rsid w:val="00B21397"/>
    <w:rsid w:val="00B222D8"/>
    <w:rsid w:val="00B24267"/>
    <w:rsid w:val="00B320F5"/>
    <w:rsid w:val="00B32191"/>
    <w:rsid w:val="00B54290"/>
    <w:rsid w:val="00B82746"/>
    <w:rsid w:val="00B8344F"/>
    <w:rsid w:val="00B871F7"/>
    <w:rsid w:val="00B96018"/>
    <w:rsid w:val="00B9645B"/>
    <w:rsid w:val="00B968F3"/>
    <w:rsid w:val="00BA68AD"/>
    <w:rsid w:val="00BB3D09"/>
    <w:rsid w:val="00BB51C5"/>
    <w:rsid w:val="00BC5EA4"/>
    <w:rsid w:val="00BC6715"/>
    <w:rsid w:val="00BD0F93"/>
    <w:rsid w:val="00BD417E"/>
    <w:rsid w:val="00BE30FB"/>
    <w:rsid w:val="00BE47D0"/>
    <w:rsid w:val="00BE51AA"/>
    <w:rsid w:val="00BE6DFD"/>
    <w:rsid w:val="00C10DF8"/>
    <w:rsid w:val="00C23D9C"/>
    <w:rsid w:val="00C34B77"/>
    <w:rsid w:val="00C43D40"/>
    <w:rsid w:val="00C45986"/>
    <w:rsid w:val="00C46823"/>
    <w:rsid w:val="00C47BBB"/>
    <w:rsid w:val="00C81377"/>
    <w:rsid w:val="00C840A5"/>
    <w:rsid w:val="00C93474"/>
    <w:rsid w:val="00C97048"/>
    <w:rsid w:val="00CC5848"/>
    <w:rsid w:val="00CC6DB6"/>
    <w:rsid w:val="00CE46A9"/>
    <w:rsid w:val="00CF55BE"/>
    <w:rsid w:val="00CF59EC"/>
    <w:rsid w:val="00D054BE"/>
    <w:rsid w:val="00D109DD"/>
    <w:rsid w:val="00D1728C"/>
    <w:rsid w:val="00D23204"/>
    <w:rsid w:val="00D23606"/>
    <w:rsid w:val="00D34C96"/>
    <w:rsid w:val="00D615CA"/>
    <w:rsid w:val="00D7010D"/>
    <w:rsid w:val="00D732A7"/>
    <w:rsid w:val="00D92221"/>
    <w:rsid w:val="00D96E02"/>
    <w:rsid w:val="00DB1D55"/>
    <w:rsid w:val="00DC3A96"/>
    <w:rsid w:val="00DC5265"/>
    <w:rsid w:val="00DD045F"/>
    <w:rsid w:val="00DD5D73"/>
    <w:rsid w:val="00DE3E4B"/>
    <w:rsid w:val="00DF6F14"/>
    <w:rsid w:val="00E1188A"/>
    <w:rsid w:val="00E123AA"/>
    <w:rsid w:val="00E13228"/>
    <w:rsid w:val="00E35ACE"/>
    <w:rsid w:val="00E433C4"/>
    <w:rsid w:val="00E4650B"/>
    <w:rsid w:val="00E55870"/>
    <w:rsid w:val="00E56FB2"/>
    <w:rsid w:val="00E8305F"/>
    <w:rsid w:val="00E94C7F"/>
    <w:rsid w:val="00E9547E"/>
    <w:rsid w:val="00EA46D7"/>
    <w:rsid w:val="00EB3191"/>
    <w:rsid w:val="00EB563D"/>
    <w:rsid w:val="00EC42D1"/>
    <w:rsid w:val="00ED052F"/>
    <w:rsid w:val="00EE565F"/>
    <w:rsid w:val="00EF03B2"/>
    <w:rsid w:val="00EF1DAE"/>
    <w:rsid w:val="00EF2E5E"/>
    <w:rsid w:val="00EF52FB"/>
    <w:rsid w:val="00F00929"/>
    <w:rsid w:val="00F06E96"/>
    <w:rsid w:val="00F173B3"/>
    <w:rsid w:val="00F2197B"/>
    <w:rsid w:val="00F33A30"/>
    <w:rsid w:val="00F4037D"/>
    <w:rsid w:val="00F43CC2"/>
    <w:rsid w:val="00F56F44"/>
    <w:rsid w:val="00F620CE"/>
    <w:rsid w:val="00F660A2"/>
    <w:rsid w:val="00F72DA4"/>
    <w:rsid w:val="00F824A5"/>
    <w:rsid w:val="00F83D91"/>
    <w:rsid w:val="00F97E82"/>
    <w:rsid w:val="00FA46C5"/>
    <w:rsid w:val="00FA5680"/>
    <w:rsid w:val="00FA7DAD"/>
    <w:rsid w:val="00FB2324"/>
    <w:rsid w:val="00FB254D"/>
    <w:rsid w:val="00FC168E"/>
    <w:rsid w:val="00FE24D9"/>
    <w:rsid w:val="00FE2E41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DFB"/>
  <w15:docId w15:val="{0E882C30-BF16-4F75-9A37-FCD0574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27D"/>
    <w:pPr>
      <w:jc w:val="both"/>
    </w:pPr>
    <w:rPr>
      <w:rFonts w:ascii="Times New Roman" w:hAnsi="Times New Roman" w:cs="Times New Roman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127D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27D"/>
    <w:pPr>
      <w:keepNext/>
      <w:keepLines/>
      <w:numPr>
        <w:numId w:val="4"/>
      </w:numPr>
      <w:spacing w:before="120" w:after="120" w:line="240" w:lineRule="auto"/>
      <w:outlineLvl w:val="1"/>
    </w:pPr>
    <w:rPr>
      <w:rFonts w:eastAsiaTheme="majorEastAs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305F"/>
    <w:pPr>
      <w:keepNext/>
      <w:keepLines/>
      <w:spacing w:before="200" w:after="0"/>
      <w:ind w:left="-42"/>
      <w:outlineLvl w:val="2"/>
    </w:pPr>
    <w:rPr>
      <w:rFonts w:eastAsiaTheme="majorEastAs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27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127D"/>
    <w:rPr>
      <w:rFonts w:ascii="Times New Roman" w:eastAsiaTheme="majorEastAsia" w:hAnsi="Times New Roman" w:cs="Times New Roman"/>
      <w:b/>
      <w:bCs/>
      <w:sz w:val="26"/>
      <w:szCs w:val="26"/>
      <w:lang w:bidi="cs-CZ"/>
    </w:rPr>
  </w:style>
  <w:style w:type="paragraph" w:styleId="Odstavecseseznamem">
    <w:name w:val="List Paragraph"/>
    <w:aliases w:val="Dot pt,F5 List Paragraph,List Paragraph1,Recommendation,List Paragraph11,Kolorowa lista — akcent 11,Akapit z listą1,Numerowanie,Listaszerű bekezdés1,List Paragraph à moi,No Spacing1,List Paragraph Char Char Char,Bullet 1,2"/>
    <w:basedOn w:val="Normln"/>
    <w:link w:val="OdstavecseseznamemChar"/>
    <w:uiPriority w:val="34"/>
    <w:qFormat/>
    <w:rsid w:val="00E94C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8305F"/>
    <w:rPr>
      <w:rFonts w:ascii="Times New Roman" w:eastAsiaTheme="majorEastAsia" w:hAnsi="Times New Roman" w:cs="Times New Roman"/>
      <w:b/>
      <w:bCs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7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6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69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D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D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D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5BCF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F5 List Paragraph Char,List Paragraph1 Char,Recommendation Char,List Paragraph11 Char,Kolorowa lista — akcent 11 Char,Akapit z listą1 Char,Numerowanie Char,Listaszerű bekezdés1 Char,List Paragraph à moi Char,2 Char"/>
    <w:link w:val="Odstavecseseznamem"/>
    <w:uiPriority w:val="34"/>
    <w:locked/>
    <w:rsid w:val="00781ED5"/>
  </w:style>
  <w:style w:type="character" w:customStyle="1" w:styleId="Zkladntext">
    <w:name w:val="Základní text_"/>
    <w:basedOn w:val="Standardnpsmoodstavce"/>
    <w:link w:val="Zkladntext1"/>
    <w:rsid w:val="00AE033B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AE033B"/>
    <w:pPr>
      <w:widowControl w:val="0"/>
      <w:jc w:val="left"/>
    </w:pPr>
    <w:rPr>
      <w:rFonts w:eastAsia="Arial" w:cs="Arial"/>
    </w:rPr>
  </w:style>
  <w:style w:type="table" w:styleId="Mkatabulky">
    <w:name w:val="Table Grid"/>
    <w:basedOn w:val="Normlntabulka"/>
    <w:uiPriority w:val="59"/>
    <w:rsid w:val="007F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4E3"/>
  </w:style>
  <w:style w:type="paragraph" w:styleId="Zpat">
    <w:name w:val="footer"/>
    <w:basedOn w:val="Normln"/>
    <w:link w:val="ZpatChar"/>
    <w:uiPriority w:val="99"/>
    <w:unhideWhenUsed/>
    <w:rsid w:val="0003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4E3"/>
  </w:style>
  <w:style w:type="paragraph" w:styleId="Revize">
    <w:name w:val="Revision"/>
    <w:hidden/>
    <w:uiPriority w:val="99"/>
    <w:semiHidden/>
    <w:rsid w:val="0007137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B6D8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B6D8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70E7-963C-4484-B0FB-2D36A2FF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Šenkýř Jan</dc:creator>
  <cp:lastModifiedBy>Milan Kubek | PC1 | centrala Praha</cp:lastModifiedBy>
  <cp:revision>2</cp:revision>
  <cp:lastPrinted>2020-12-30T11:26:00Z</cp:lastPrinted>
  <dcterms:created xsi:type="dcterms:W3CDTF">2021-01-07T20:03:00Z</dcterms:created>
  <dcterms:modified xsi:type="dcterms:W3CDTF">2021-01-07T20:03:00Z</dcterms:modified>
</cp:coreProperties>
</file>