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441BD" w14:textId="65DF82BE" w:rsidR="004136EA" w:rsidRPr="00ED2880" w:rsidRDefault="008E1F48">
      <w:pPr>
        <w:pStyle w:val="Zkladntext"/>
        <w:ind w:right="-2"/>
        <w:jc w:val="left"/>
        <w:rPr>
          <w:rFonts w:ascii="péč" w:hAnsi="péč"/>
          <w:color w:val="auto"/>
          <w:sz w:val="18"/>
        </w:rPr>
      </w:pPr>
      <w:r>
        <w:rPr>
          <w:rFonts w:ascii="Arial" w:hAnsi="Arial"/>
          <w:noProof/>
          <w:sz w:val="16"/>
        </w:rPr>
        <w:drawing>
          <wp:anchor distT="0" distB="0" distL="114300" distR="114300" simplePos="0" relativeHeight="251659264" behindDoc="0" locked="0" layoutInCell="1" allowOverlap="1" wp14:anchorId="57605A3A" wp14:editId="2672FD04">
            <wp:simplePos x="0" y="0"/>
            <wp:positionH relativeFrom="column">
              <wp:posOffset>4636</wp:posOffset>
            </wp:positionH>
            <wp:positionV relativeFrom="paragraph">
              <wp:posOffset>43263</wp:posOffset>
            </wp:positionV>
            <wp:extent cx="2705100" cy="428625"/>
            <wp:effectExtent l="0" t="0" r="0" b="9525"/>
            <wp:wrapNone/>
            <wp:docPr id="2" name="Obrázek 2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C97">
        <w:rPr>
          <w:rFonts w:ascii="péč" w:hAnsi="péč"/>
          <w:color w:val="auto"/>
          <w:sz w:val="18"/>
        </w:rPr>
        <w:t xml:space="preserve"> </w:t>
      </w:r>
    </w:p>
    <w:tbl>
      <w:tblPr>
        <w:tblW w:w="0" w:type="auto"/>
        <w:tblInd w:w="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5103"/>
      </w:tblGrid>
      <w:tr w:rsidR="004136EA" w14:paraId="318441BF" w14:textId="77777777">
        <w:trPr>
          <w:trHeight w:val="418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18441BE" w14:textId="77777777" w:rsidR="004136EA" w:rsidRDefault="00576C1D" w:rsidP="0052476B">
            <w:pPr>
              <w:pStyle w:val="Zkladntext"/>
              <w:ind w:right="-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</w:t>
            </w:r>
            <w:r w:rsidR="0052476B"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b/>
              </w:rPr>
              <w:t>ytovatel</w:t>
            </w:r>
            <w:r w:rsidR="004136EA">
              <w:rPr>
                <w:rFonts w:ascii="Arial" w:hAnsi="Arial"/>
                <w:vertAlign w:val="subscript"/>
              </w:rPr>
              <w:t>2)</w:t>
            </w:r>
            <w:r w:rsidR="004136EA">
              <w:rPr>
                <w:rFonts w:ascii="Arial" w:hAnsi="Arial"/>
                <w:b/>
              </w:rPr>
              <w:t xml:space="preserve">:  </w:t>
            </w:r>
            <w:r w:rsidR="00FC5435">
              <w:rPr>
                <w:rFonts w:ascii="Arial" w:hAnsi="Arial"/>
                <w:b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  <w:r w:rsidR="004136EA">
              <w:rPr>
                <w:rFonts w:ascii="Arial" w:hAnsi="Arial"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  <w:r w:rsidR="004136EA">
              <w:rPr>
                <w:rFonts w:ascii="Arial" w:hAnsi="Arial"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</w:p>
        </w:tc>
      </w:tr>
      <w:tr w:rsidR="004136EA" w14:paraId="318441C3" w14:textId="77777777">
        <w:trPr>
          <w:trHeight w:hRule="exact" w:val="36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18441C0" w14:textId="77777777" w:rsidR="004136EA" w:rsidRDefault="004136EA" w:rsidP="00576C1D">
            <w:pPr>
              <w:pStyle w:val="Texttabulky"/>
              <w:ind w:right="-2"/>
              <w:rPr>
                <w:rFonts w:ascii="Arial" w:hAnsi="Arial"/>
                <w:spacing w:val="-20"/>
              </w:rPr>
            </w:pP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  <w:b/>
                <w:spacing w:val="-20"/>
              </w:rPr>
              <w:t xml:space="preserve">IČ:   </w:t>
            </w:r>
            <w:r w:rsidR="00FC5435">
              <w:rPr>
                <w:rFonts w:ascii="Arial" w:hAnsi="Arial"/>
                <w:b/>
                <w:spacing w:val="-20"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14:paraId="318441C1" w14:textId="77777777" w:rsidR="004136EA" w:rsidRDefault="004136EA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specifikace</w:t>
            </w:r>
            <w:r>
              <w:rPr>
                <w:rFonts w:ascii="Arial" w:hAnsi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sz w:val="20"/>
                <w:vertAlign w:val="subscript"/>
              </w:rPr>
              <w:t>1)</w:t>
            </w:r>
            <w:r w:rsidR="00576C1D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:   </w:t>
            </w:r>
            <w:r w:rsidR="00FC5435">
              <w:rPr>
                <w:rFonts w:ascii="Arial" w:hAnsi="Arial"/>
                <w:sz w:val="20"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</w:p>
        </w:tc>
        <w:tc>
          <w:tcPr>
            <w:tcW w:w="5103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18441C2" w14:textId="77777777" w:rsidR="004136EA" w:rsidRDefault="004136EA" w:rsidP="00576C1D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IČZ</w:t>
            </w:r>
            <w:r>
              <w:rPr>
                <w:rFonts w:ascii="Arial" w:hAnsi="Arial"/>
                <w:sz w:val="20"/>
                <w:vertAlign w:val="subscript"/>
              </w:rPr>
              <w:t>3)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FC5435">
              <w:rPr>
                <w:rFonts w:ascii="Arial" w:hAnsi="Arial"/>
                <w:b/>
                <w:sz w:val="20"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</w:p>
        </w:tc>
      </w:tr>
      <w:tr w:rsidR="004136EA" w14:paraId="318441C6" w14:textId="77777777">
        <w:trPr>
          <w:cantSplit/>
          <w:trHeight w:hRule="exact" w:val="360"/>
        </w:trPr>
        <w:tc>
          <w:tcPr>
            <w:tcW w:w="5670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8441C4" w14:textId="77777777" w:rsidR="004136EA" w:rsidRDefault="004136EA" w:rsidP="00576C1D">
            <w:pPr>
              <w:pStyle w:val="Zkladntext"/>
              <w:ind w:right="-2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Sídlo:    </w:t>
            </w:r>
            <w:r w:rsidR="00FC5435">
              <w:rPr>
                <w:rFonts w:ascii="Arial" w:hAnsi="Arial"/>
                <w:b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</w:p>
        </w:tc>
        <w:tc>
          <w:tcPr>
            <w:tcW w:w="5103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18441C5" w14:textId="77777777" w:rsidR="004136EA" w:rsidRDefault="004136EA" w:rsidP="00576C1D">
            <w:pPr>
              <w:pStyle w:val="Texttabulky"/>
              <w:ind w:right="-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IČP</w:t>
            </w:r>
            <w:r>
              <w:rPr>
                <w:rFonts w:ascii="Arial" w:hAnsi="Arial"/>
                <w:sz w:val="20"/>
                <w:vertAlign w:val="subscript"/>
              </w:rPr>
              <w:t>3)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4136EA" w14:paraId="318441C9" w14:textId="77777777">
        <w:trPr>
          <w:cantSplit/>
          <w:trHeight w:val="395"/>
        </w:trPr>
        <w:tc>
          <w:tcPr>
            <w:tcW w:w="56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18441C7" w14:textId="77777777" w:rsidR="004136EA" w:rsidRDefault="004136EA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18441C8" w14:textId="77777777" w:rsidR="004136EA" w:rsidRDefault="004136EA" w:rsidP="00576C1D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PSČ:  </w:t>
            </w:r>
            <w:r w:rsidR="00FC5435">
              <w:rPr>
                <w:rFonts w:ascii="Arial" w:hAnsi="Arial"/>
                <w:b/>
                <w:sz w:val="20"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</w:p>
        </w:tc>
      </w:tr>
      <w:tr w:rsidR="004136EA" w14:paraId="318441CB" w14:textId="77777777">
        <w:trPr>
          <w:trHeight w:val="215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41CA" w14:textId="77777777" w:rsidR="004136EA" w:rsidRDefault="002B7AB8" w:rsidP="00576C1D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Zástupce</w:t>
            </w:r>
            <w:r w:rsidR="004136EA">
              <w:rPr>
                <w:rFonts w:ascii="Arial" w:hAnsi="Arial"/>
                <w:b/>
                <w:sz w:val="20"/>
              </w:rPr>
              <w:t xml:space="preserve">:      </w:t>
            </w:r>
            <w:r w:rsidR="00FC5435">
              <w:rPr>
                <w:rFonts w:ascii="Arial" w:hAnsi="Arial"/>
                <w:b/>
                <w:sz w:val="20"/>
              </w:rPr>
              <w:t xml:space="preserve"> </w:t>
            </w:r>
            <w:r w:rsidR="00FB2678">
              <w:fldChar w:fldCharType="begin"/>
            </w:r>
            <w:r w:rsidR="00FB2678">
              <w:instrText xml:space="preserve"> </w:instrText>
            </w:r>
            <w:r w:rsidR="00FB2678">
              <w:fldChar w:fldCharType="end"/>
            </w:r>
          </w:p>
        </w:tc>
      </w:tr>
    </w:tbl>
    <w:p w14:paraId="318441CC" w14:textId="77777777" w:rsidR="004136EA" w:rsidRDefault="004136EA">
      <w:pPr>
        <w:pStyle w:val="Zkladntext"/>
        <w:framePr w:hSpace="142" w:wrap="around" w:vAnchor="page" w:hAnchor="page" w:x="609" w:y="15901"/>
        <w:pBdr>
          <w:top w:val="single" w:sz="6" w:space="1" w:color="auto"/>
        </w:pBdr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t>1) Vyplní Zdravotní pojišťovna</w:t>
      </w:r>
    </w:p>
    <w:p w14:paraId="318441CD" w14:textId="77777777" w:rsidR="004136EA" w:rsidRPr="00DC6242" w:rsidRDefault="004136EA">
      <w:pPr>
        <w:pStyle w:val="Zkladntext"/>
        <w:framePr w:hSpace="142" w:wrap="around" w:vAnchor="page" w:hAnchor="page" w:x="609" w:y="15901"/>
        <w:pBdr>
          <w:top w:val="single" w:sz="6" w:space="1" w:color="auto"/>
        </w:pBdr>
        <w:jc w:val="left"/>
        <w:rPr>
          <w:rFonts w:ascii="Arial" w:hAnsi="Arial"/>
          <w:sz w:val="14"/>
        </w:rPr>
      </w:pPr>
      <w:r w:rsidRPr="00DC6242">
        <w:rPr>
          <w:rFonts w:ascii="Arial" w:hAnsi="Arial"/>
          <w:sz w:val="14"/>
        </w:rPr>
        <w:t xml:space="preserve">2) </w:t>
      </w:r>
      <w:r w:rsidR="002B7AB8">
        <w:rPr>
          <w:rFonts w:ascii="Arial" w:hAnsi="Arial"/>
          <w:sz w:val="14"/>
        </w:rPr>
        <w:t>Jméno</w:t>
      </w:r>
      <w:r w:rsidRPr="00DC6242">
        <w:rPr>
          <w:rFonts w:ascii="Arial" w:hAnsi="Arial"/>
          <w:sz w:val="14"/>
        </w:rPr>
        <w:t xml:space="preserve"> </w:t>
      </w:r>
      <w:r w:rsidR="00ED2880" w:rsidRPr="00DC6242">
        <w:rPr>
          <w:rFonts w:ascii="Arial" w:hAnsi="Arial"/>
          <w:sz w:val="14"/>
        </w:rPr>
        <w:t xml:space="preserve">Poskytovatele </w:t>
      </w:r>
      <w:r w:rsidRPr="00DC6242">
        <w:rPr>
          <w:rFonts w:ascii="Arial" w:hAnsi="Arial"/>
          <w:sz w:val="14"/>
        </w:rPr>
        <w:t xml:space="preserve">dle údajů v Obchodním rejstříku, živnostenském </w:t>
      </w:r>
      <w:r w:rsidR="002C26B8">
        <w:rPr>
          <w:rFonts w:ascii="Arial" w:hAnsi="Arial"/>
          <w:sz w:val="14"/>
        </w:rPr>
        <w:t>rejstříku</w:t>
      </w:r>
      <w:r w:rsidRPr="00DC6242">
        <w:rPr>
          <w:rFonts w:ascii="Arial" w:hAnsi="Arial"/>
          <w:sz w:val="14"/>
        </w:rPr>
        <w:t>, event. v žádosti o přidělení IČ, příp. dle názvu ve zřizovací listině</w:t>
      </w:r>
    </w:p>
    <w:p w14:paraId="318441CE" w14:textId="77777777" w:rsidR="004136EA" w:rsidRPr="00DC6242" w:rsidRDefault="004136EA">
      <w:pPr>
        <w:pStyle w:val="Zkladntext"/>
        <w:framePr w:hSpace="142" w:wrap="around" w:vAnchor="page" w:hAnchor="page" w:x="609" w:y="15901"/>
        <w:pBdr>
          <w:top w:val="single" w:sz="6" w:space="1" w:color="auto"/>
        </w:pBdr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3) Případná další IČZ,IČP přidělená </w:t>
      </w:r>
      <w:r w:rsidR="00ED2880" w:rsidRPr="00ED2880">
        <w:rPr>
          <w:rFonts w:ascii="Arial" w:hAnsi="Arial"/>
          <w:sz w:val="14"/>
        </w:rPr>
        <w:t>Poskytovateli</w:t>
      </w:r>
      <w:r w:rsidR="00ED2880" w:rsidRPr="00DC6242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>uveďte ve zvláštní příloze</w:t>
      </w:r>
    </w:p>
    <w:p w14:paraId="2B942BA5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Oborová zdravotní pojišťovna zaměstnanců bank, </w:t>
      </w:r>
    </w:p>
    <w:p w14:paraId="6E5B2E5B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pojišťoven a stavebnictví</w:t>
      </w:r>
    </w:p>
    <w:p w14:paraId="3B0E5BF5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IČ: 47114321, DIČ: CZ47114321, kód 207</w:t>
      </w:r>
    </w:p>
    <w:p w14:paraId="30EAAC6F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418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Zástupce:</w:t>
      </w:r>
      <w:r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ab/>
        <w:t>Ing. Radovan Kouřil</w:t>
      </w:r>
    </w:p>
    <w:p w14:paraId="35E5DD6A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418"/>
        </w:tabs>
        <w:ind w:firstLine="110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generální ředitel</w:t>
      </w:r>
    </w:p>
    <w:p w14:paraId="4E6C0319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se sídlem:   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Roškotova 1225/1</w:t>
      </w:r>
    </w:p>
    <w:p w14:paraId="20BFBCE3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140 21 Praha 4</w:t>
      </w:r>
    </w:p>
    <w:p w14:paraId="76BE0C08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zapsaná</w:t>
      </w:r>
      <w:r>
        <w:rPr>
          <w:rFonts w:ascii="Arial" w:hAnsi="Arial"/>
          <w:sz w:val="16"/>
        </w:rPr>
        <w:tab/>
        <w:t xml:space="preserve">v obchodním rejstříku, vedeném </w:t>
      </w:r>
    </w:p>
    <w:p w14:paraId="73E07841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Městským soudem v Praze spis. zn. A 7232</w:t>
      </w:r>
    </w:p>
    <w:p w14:paraId="05723E4B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701"/>
        </w:tabs>
        <w:spacing w:after="12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Bankovní spojení:   Česká národní banka., č. ú.: 2070101041/0710</w:t>
      </w:r>
    </w:p>
    <w:p w14:paraId="0ACC6D49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„Zdravotní pojišťovna“) na straně jedné</w:t>
      </w:r>
    </w:p>
    <w:p w14:paraId="5F89392C" w14:textId="77777777" w:rsidR="006901C0" w:rsidRDefault="006901C0" w:rsidP="00E44C26">
      <w:pPr>
        <w:pStyle w:val="Zkladntext"/>
        <w:framePr w:w="5160" w:h="2476" w:hSpace="142" w:wrap="around" w:vAnchor="page" w:hAnchor="page" w:x="579" w:y="1561"/>
        <w:shd w:val="pct12" w:color="auto" w:fill="FFFFFF"/>
        <w:tabs>
          <w:tab w:val="left" w:pos="1701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14:paraId="318441DD" w14:textId="77777777" w:rsidR="004136EA" w:rsidRDefault="004136EA">
      <w:pPr>
        <w:framePr w:w="4082" w:h="2387" w:hRule="exact" w:hSpace="142" w:wrap="around" w:vAnchor="page" w:hAnchor="page" w:x="7194" w:y="1291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</w:t>
      </w:r>
      <w:r w:rsidR="00FC543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0</w:t>
      </w:r>
      <w:r w:rsidR="00261286">
        <w:rPr>
          <w:rFonts w:ascii="Arial" w:hAnsi="Arial"/>
          <w:b/>
          <w:sz w:val="16"/>
        </w:rPr>
        <w:t xml:space="preserve"> / 0</w:t>
      </w:r>
      <w:r w:rsidR="00FB2678">
        <w:fldChar w:fldCharType="begin"/>
      </w:r>
      <w:r w:rsidR="00FB2678">
        <w:instrText xml:space="preserve"> </w:instrText>
      </w:r>
      <w:r w:rsidR="00FB2678">
        <w:fldChar w:fldCharType="end"/>
      </w:r>
    </w:p>
    <w:p w14:paraId="318441DE" w14:textId="77777777" w:rsidR="004136EA" w:rsidRDefault="004136EA">
      <w:pPr>
        <w:pStyle w:val="Zkladntext"/>
        <w:framePr w:w="4082" w:h="2387" w:hRule="exact" w:hSpace="142" w:wrap="around" w:vAnchor="page" w:hAnchor="page" w:x="7194" w:y="1291"/>
        <w:ind w:right="-2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Kontaktní adresa:</w:t>
      </w:r>
    </w:p>
    <w:p w14:paraId="318441DF" w14:textId="77777777" w:rsidR="004136EA" w:rsidRDefault="004136EA">
      <w:pPr>
        <w:framePr w:w="4082" w:h="2387" w:hRule="exact" w:hSpace="142" w:wrap="around" w:vAnchor="page" w:hAnchor="page" w:x="7194" w:y="1291"/>
        <w:jc w:val="right"/>
        <w:rPr>
          <w:rFonts w:ascii="Arial" w:hAnsi="Arial"/>
          <w:sz w:val="16"/>
        </w:rPr>
      </w:pPr>
    </w:p>
    <w:p w14:paraId="318441E0" w14:textId="77777777" w:rsidR="004136EA" w:rsidRDefault="00FC5435">
      <w:pPr>
        <w:framePr w:w="4082" w:h="2387" w:hRule="exact" w:hSpace="142" w:wrap="around" w:vAnchor="page" w:hAnchor="page" w:x="7194" w:y="1291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</w:t>
      </w:r>
    </w:p>
    <w:p w14:paraId="318441E1" w14:textId="77777777" w:rsidR="004136EA" w:rsidRDefault="004136EA">
      <w:pPr>
        <w:framePr w:w="4082" w:h="2387" w:hRule="exact" w:hSpace="142" w:wrap="around" w:vAnchor="page" w:hAnchor="page" w:x="7194" w:y="1291"/>
        <w:rPr>
          <w:rFonts w:ascii="Arial" w:hAnsi="Arial"/>
          <w:sz w:val="16"/>
        </w:rPr>
      </w:pPr>
    </w:p>
    <w:p w14:paraId="318441E2" w14:textId="77777777" w:rsidR="004136EA" w:rsidRDefault="00FC5435">
      <w:pPr>
        <w:framePr w:w="3731" w:h="743" w:hSpace="142" w:wrap="around" w:vAnchor="page" w:hAnchor="page" w:x="7689" w:y="421"/>
        <w:rPr>
          <w:rFonts w:ascii="Arial" w:hAnsi="Arial"/>
          <w:sz w:val="40"/>
        </w:rPr>
      </w:pPr>
      <w:r>
        <w:rPr>
          <w:rFonts w:ascii="Code-39-25" w:hAnsi="Code-39-25"/>
          <w:sz w:val="40"/>
        </w:rPr>
        <w:t xml:space="preserve"> </w:t>
      </w:r>
    </w:p>
    <w:p w14:paraId="318441E3" w14:textId="77777777" w:rsidR="004136EA" w:rsidRDefault="004136EA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(dále jen </w:t>
      </w:r>
      <w:r w:rsidR="002B7AB8">
        <w:rPr>
          <w:rFonts w:ascii="Arial" w:hAnsi="Arial"/>
          <w:sz w:val="16"/>
        </w:rPr>
        <w:t>„</w:t>
      </w:r>
      <w:r w:rsidR="00576C1D">
        <w:rPr>
          <w:rFonts w:ascii="Arial" w:hAnsi="Arial"/>
          <w:sz w:val="16"/>
        </w:rPr>
        <w:t>Poskytovatel</w:t>
      </w:r>
      <w:r w:rsidR="002B7AB8">
        <w:rPr>
          <w:rFonts w:ascii="Arial" w:hAnsi="Arial"/>
          <w:sz w:val="16"/>
        </w:rPr>
        <w:t>“</w:t>
      </w:r>
      <w:r>
        <w:rPr>
          <w:rFonts w:ascii="Arial" w:hAnsi="Arial"/>
          <w:sz w:val="16"/>
        </w:rPr>
        <w:t>) na straně druhé</w:t>
      </w:r>
    </w:p>
    <w:p w14:paraId="318441E4" w14:textId="77777777" w:rsidR="004136EA" w:rsidRDefault="004136EA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uzavírají po dohodě t</w:t>
      </w:r>
      <w:r w:rsidR="004213FF">
        <w:rPr>
          <w:rFonts w:ascii="Arial" w:hAnsi="Arial"/>
          <w:sz w:val="16"/>
        </w:rPr>
        <w:t>ento</w:t>
      </w:r>
      <w:r>
        <w:rPr>
          <w:rFonts w:ascii="Arial" w:hAnsi="Arial"/>
          <w:sz w:val="16"/>
        </w:rPr>
        <w:t xml:space="preserve"> </w:t>
      </w:r>
    </w:p>
    <w:p w14:paraId="318441E5" w14:textId="731F30BC" w:rsidR="004136EA" w:rsidRDefault="00056CA7">
      <w:pPr>
        <w:pStyle w:val="Zkladntext"/>
        <w:spacing w:before="120"/>
        <w:jc w:val="center"/>
        <w:rPr>
          <w:rFonts w:ascii="Arial" w:hAnsi="Arial"/>
          <w:b/>
          <w:sz w:val="24"/>
        </w:rPr>
      </w:pPr>
      <w:r w:rsidRPr="009921D0">
        <w:rPr>
          <w:rFonts w:ascii="Arial" w:hAnsi="Arial"/>
          <w:b/>
          <w:sz w:val="24"/>
          <w:szCs w:val="24"/>
        </w:rPr>
        <w:t>DODATEK</w:t>
      </w:r>
      <w:r w:rsidRPr="002617B8">
        <w:rPr>
          <w:rFonts w:ascii="Arial" w:hAnsi="Arial"/>
          <w:b/>
          <w:sz w:val="28"/>
          <w:szCs w:val="28"/>
        </w:rPr>
        <w:t xml:space="preserve"> </w:t>
      </w:r>
      <w:r w:rsidR="005B0C15">
        <w:rPr>
          <w:rFonts w:ascii="Arial" w:hAnsi="Arial"/>
          <w:b/>
          <w:sz w:val="24"/>
        </w:rPr>
        <w:t>A-</w:t>
      </w:r>
      <w:r w:rsidR="00D41A02">
        <w:rPr>
          <w:rFonts w:ascii="Arial" w:hAnsi="Arial"/>
          <w:b/>
          <w:sz w:val="24"/>
        </w:rPr>
        <w:t>LIM</w:t>
      </w:r>
      <w:r w:rsidR="004136EA">
        <w:rPr>
          <w:rFonts w:ascii="Arial" w:hAnsi="Arial"/>
          <w:b/>
          <w:sz w:val="24"/>
        </w:rPr>
        <w:t xml:space="preserve"> </w:t>
      </w:r>
      <w:r w:rsidR="00FC5435">
        <w:rPr>
          <w:rFonts w:ascii="Arial" w:hAnsi="Arial"/>
          <w:b/>
          <w:sz w:val="24"/>
        </w:rPr>
        <w:t xml:space="preserve"> </w:t>
      </w:r>
      <w:r w:rsidR="001C2944">
        <w:rPr>
          <w:rFonts w:ascii="Arial" w:hAnsi="Arial"/>
          <w:b/>
          <w:sz w:val="24"/>
        </w:rPr>
        <w:t>2019</w:t>
      </w:r>
    </w:p>
    <w:p w14:paraId="65FAE21E" w14:textId="6D9826B4" w:rsidR="006901C0" w:rsidRDefault="006901C0" w:rsidP="006901C0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„Dodatek“)</w:t>
      </w:r>
    </w:p>
    <w:p w14:paraId="318441E6" w14:textId="6EDA06CD" w:rsidR="004136EA" w:rsidRPr="008935E3" w:rsidRDefault="00C1403D" w:rsidP="00AB6D8F">
      <w:pPr>
        <w:pStyle w:val="Zkladntext"/>
        <w:spacing w:before="120"/>
        <w:jc w:val="left"/>
        <w:rPr>
          <w:rFonts w:ascii="Arial" w:hAnsi="Arial"/>
          <w:b/>
          <w:sz w:val="18"/>
          <w:szCs w:val="18"/>
        </w:rPr>
      </w:pPr>
      <w:r w:rsidRPr="00EE21A0">
        <w:rPr>
          <w:rFonts w:ascii="Arial" w:hAnsi="Arial"/>
          <w:b/>
          <w:color w:val="FF0000"/>
          <w:sz w:val="16"/>
          <w:highlight w:val="cyan"/>
        </w:rPr>
        <w:t xml:space="preserve">VAZBA </w:t>
      </w:r>
      <w:r w:rsidRPr="00EE21A0">
        <w:rPr>
          <w:rFonts w:ascii="Arial" w:hAnsi="Arial"/>
          <w:b/>
          <w:color w:val="FF0000"/>
          <w:sz w:val="16"/>
          <w:highlight w:val="cyan"/>
          <w:lang w:val="en-US"/>
        </w:rPr>
        <w:t>(</w:t>
      </w:r>
      <w:r w:rsidRPr="00EE21A0">
        <w:rPr>
          <w:rFonts w:ascii="Arial" w:hAnsi="Arial"/>
          <w:b/>
          <w:color w:val="FF0000"/>
          <w:sz w:val="16"/>
          <w:highlight w:val="cyan"/>
        </w:rPr>
        <w:t xml:space="preserve">INT) </w:t>
      </w:r>
      <w:r w:rsidRPr="00EE21A0">
        <w:rPr>
          <w:rFonts w:ascii="Arial" w:hAnsi="Arial"/>
          <w:b/>
          <w:i/>
          <w:color w:val="FF0000"/>
          <w:sz w:val="16"/>
          <w:highlight w:val="cyan"/>
        </w:rPr>
        <w:t xml:space="preserve">jen zavést do tabulky, </w:t>
      </w:r>
      <w:r>
        <w:rPr>
          <w:rFonts w:ascii="Arial" w:hAnsi="Arial"/>
          <w:b/>
          <w:i/>
          <w:color w:val="FF0000"/>
          <w:sz w:val="16"/>
          <w:highlight w:val="cyan"/>
        </w:rPr>
        <w:t>nebude</w:t>
      </w:r>
      <w:r w:rsidRPr="00EE21A0">
        <w:rPr>
          <w:rFonts w:ascii="Arial" w:hAnsi="Arial"/>
          <w:b/>
          <w:i/>
          <w:color w:val="FF0000"/>
          <w:sz w:val="16"/>
          <w:highlight w:val="cyan"/>
        </w:rPr>
        <w:t xml:space="preserve"> na dodatku zobrazováno</w:t>
      </w:r>
      <w:r w:rsidR="004136EA" w:rsidRPr="008935E3">
        <w:rPr>
          <w:rFonts w:ascii="Arial" w:hAnsi="Arial"/>
          <w:b/>
          <w:sz w:val="18"/>
          <w:szCs w:val="18"/>
        </w:rPr>
        <w:t>I.</w:t>
      </w:r>
    </w:p>
    <w:p w14:paraId="06F46355" w14:textId="357B358A" w:rsidR="006901C0" w:rsidRPr="007607C7" w:rsidRDefault="006901C0" w:rsidP="006901C0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Předmětem tohoto Dodatku je stanovení podmínek, způsobu a výše úhrady </w:t>
      </w:r>
      <w:r w:rsidRPr="00332BB3">
        <w:rPr>
          <w:rFonts w:ascii="Arial" w:hAnsi="Arial"/>
          <w:b/>
          <w:sz w:val="18"/>
          <w:szCs w:val="18"/>
        </w:rPr>
        <w:t>specializovan</w:t>
      </w:r>
      <w:r>
        <w:rPr>
          <w:rFonts w:ascii="Arial" w:hAnsi="Arial"/>
          <w:b/>
          <w:sz w:val="18"/>
          <w:szCs w:val="18"/>
        </w:rPr>
        <w:t>ých</w:t>
      </w:r>
      <w:r w:rsidRPr="00332BB3">
        <w:rPr>
          <w:rFonts w:ascii="Arial" w:hAnsi="Arial"/>
          <w:b/>
          <w:sz w:val="18"/>
          <w:szCs w:val="18"/>
        </w:rPr>
        <w:t xml:space="preserve"> ambulantní</w:t>
      </w:r>
      <w:r>
        <w:rPr>
          <w:rFonts w:ascii="Arial" w:hAnsi="Arial"/>
          <w:b/>
          <w:sz w:val="18"/>
          <w:szCs w:val="18"/>
        </w:rPr>
        <w:t>ch</w:t>
      </w:r>
      <w:r w:rsidRPr="00332BB3">
        <w:rPr>
          <w:rFonts w:ascii="Arial" w:hAnsi="Arial"/>
          <w:b/>
          <w:sz w:val="18"/>
          <w:szCs w:val="18"/>
        </w:rPr>
        <w:t xml:space="preserve"> zdravotní</w:t>
      </w:r>
      <w:r>
        <w:rPr>
          <w:rFonts w:ascii="Arial" w:hAnsi="Arial"/>
          <w:b/>
          <w:sz w:val="18"/>
          <w:szCs w:val="18"/>
        </w:rPr>
        <w:t>ch</w:t>
      </w:r>
      <w:r w:rsidRPr="00332BB3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služeb</w:t>
      </w:r>
      <w:r>
        <w:rPr>
          <w:rFonts w:ascii="Arial" w:hAnsi="Arial" w:cs="Arial"/>
          <w:sz w:val="18"/>
          <w:szCs w:val="18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 xml:space="preserve">hrazených z veřejného zdravotního pojištění a poskytnutých </w:t>
      </w:r>
      <w:r w:rsidRPr="007607C7">
        <w:rPr>
          <w:rFonts w:ascii="Arial" w:hAnsi="Arial" w:cs="Arial"/>
          <w:b/>
          <w:sz w:val="18"/>
          <w:szCs w:val="18"/>
        </w:rPr>
        <w:t xml:space="preserve">v roce </w:t>
      </w:r>
      <w:r w:rsidR="001C2944">
        <w:rPr>
          <w:rFonts w:ascii="Arial" w:hAnsi="Arial" w:cs="Arial"/>
          <w:b/>
          <w:sz w:val="18"/>
          <w:szCs w:val="18"/>
        </w:rPr>
        <w:t>2019</w:t>
      </w:r>
      <w:r w:rsidR="001C2944" w:rsidRPr="007607C7">
        <w:rPr>
          <w:rFonts w:ascii="Arial" w:hAnsi="Arial" w:cs="Arial"/>
          <w:sz w:val="18"/>
          <w:szCs w:val="18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Poskytovatelem pojištěncům Zdravotní pojišťovny a pojištěncům z ostatních členských států Evropské unie, Evropského hospodářského prostoru a Švýcarska podle příslušných předpisů Evropské unie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a pojištěncům dalších států, se kterými má Česká republika uzavřeny mezinárodní smlouvy o sociálním zabezpečení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vztahující se i na oblast zdravotní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péče (dále jen „</w:t>
      </w:r>
      <w:r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>ahraniční pojištěnec“).</w:t>
      </w:r>
    </w:p>
    <w:p w14:paraId="689355AB" w14:textId="77777777" w:rsidR="006901C0" w:rsidRPr="007607C7" w:rsidRDefault="006901C0" w:rsidP="006901C0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Smluvní strany se zavazují postupovat při vyúčtování a úhradě zdravotních služeb poskytnutých </w:t>
      </w:r>
      <w:r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 xml:space="preserve">ahraničním pojištěncům podle nařízení Evropského parlamentu a Rady (ES) č. 883/2004 o koordinaci systémů sociálního zabezpečení a č. 987/2009, kterým se stanoví prováděcí pravidla k nařízení (ES) č. 883/2004 o koordinaci systémů sociálního zabezpečení, a metodického pokynu Ministerstva zdravotnictví ČR, publikovaného ve Věstníku Ministerstva zdravotnictví ČR, částka 6, z května 2010. </w:t>
      </w:r>
    </w:p>
    <w:p w14:paraId="774A7E40" w14:textId="77777777" w:rsidR="006901C0" w:rsidRPr="007607C7" w:rsidRDefault="006901C0" w:rsidP="006901C0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V návaznosti na článek I. odst. 2 tohoto Dodatku se Poskytovatel zavazuje, že vykáže zdravotní služby poskytnuté </w:t>
      </w:r>
      <w:r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>ahraničním pojištěncům v souladu s</w:t>
      </w:r>
      <w:r>
        <w:rPr>
          <w:rFonts w:ascii="Arial" w:hAnsi="Arial" w:cs="Arial"/>
          <w:sz w:val="18"/>
          <w:szCs w:val="18"/>
        </w:rPr>
        <w:t xml:space="preserve"> uvedeným </w:t>
      </w:r>
      <w:r w:rsidRPr="007607C7">
        <w:rPr>
          <w:rFonts w:ascii="Arial" w:hAnsi="Arial" w:cs="Arial"/>
          <w:sz w:val="18"/>
          <w:szCs w:val="18"/>
        </w:rPr>
        <w:t>metodickým pokynem Ministerstva zdravotnictví</w:t>
      </w:r>
      <w:r>
        <w:rPr>
          <w:rFonts w:ascii="Arial" w:hAnsi="Arial" w:cs="Arial"/>
          <w:sz w:val="18"/>
          <w:szCs w:val="18"/>
        </w:rPr>
        <w:t xml:space="preserve"> ČR</w:t>
      </w:r>
      <w:r w:rsidRPr="007607C7">
        <w:rPr>
          <w:rFonts w:ascii="Arial" w:hAnsi="Arial" w:cs="Arial"/>
          <w:sz w:val="18"/>
          <w:szCs w:val="18"/>
        </w:rPr>
        <w:t xml:space="preserve">, a to samostatnou fakturou a dávkou. Přílohou vyúčtování musí být vyplněné „Potvrzení o nároku cizího pojištěnce“ s tím, že „Potvrzení o nároku cizího pojištěnce“ není nutné dokládat v případě, že se </w:t>
      </w:r>
      <w:r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>ahraniční pojištěnec prokázal platným „Potvrzením o registraci“ vydaným Zdravotní pojišťovnou.</w:t>
      </w:r>
    </w:p>
    <w:p w14:paraId="318441EA" w14:textId="77777777" w:rsidR="004136EA" w:rsidRPr="008935E3" w:rsidRDefault="004136EA" w:rsidP="00576C1D">
      <w:pPr>
        <w:pStyle w:val="Zkladntext"/>
        <w:spacing w:before="120"/>
        <w:jc w:val="center"/>
        <w:rPr>
          <w:rFonts w:ascii="Arial" w:hAnsi="Arial"/>
          <w:b/>
          <w:sz w:val="18"/>
          <w:szCs w:val="18"/>
        </w:rPr>
      </w:pPr>
      <w:r w:rsidRPr="008935E3">
        <w:rPr>
          <w:rFonts w:ascii="Arial" w:hAnsi="Arial"/>
          <w:b/>
          <w:sz w:val="18"/>
          <w:szCs w:val="18"/>
        </w:rPr>
        <w:t>II.</w:t>
      </w:r>
    </w:p>
    <w:p w14:paraId="59183A70" w14:textId="1C6237E6" w:rsidR="008E3345" w:rsidRPr="00D65DDD" w:rsidRDefault="008E1F48" w:rsidP="000C6650">
      <w:pPr>
        <w:pStyle w:val="Textodstavce"/>
        <w:numPr>
          <w:ilvl w:val="0"/>
          <w:numId w:val="6"/>
        </w:numPr>
        <w:tabs>
          <w:tab w:val="clear" w:pos="851"/>
        </w:tabs>
        <w:spacing w:before="0" w:after="0"/>
        <w:ind w:left="357" w:hanging="357"/>
        <w:rPr>
          <w:rFonts w:ascii="Arial" w:hAnsi="Arial"/>
          <w:b/>
          <w:sz w:val="18"/>
          <w:szCs w:val="18"/>
        </w:rPr>
      </w:pPr>
      <w:r w:rsidRPr="007A0C3E">
        <w:rPr>
          <w:rFonts w:ascii="Arial" w:hAnsi="Arial" w:cs="Arial"/>
          <w:sz w:val="18"/>
          <w:szCs w:val="18"/>
        </w:rPr>
        <w:t>Smluvní strany se dohodly, že</w:t>
      </w:r>
      <w:r w:rsidRPr="007A0C3E">
        <w:rPr>
          <w:rFonts w:ascii="Arial" w:hAnsi="Arial" w:cs="Arial"/>
          <w:b/>
          <w:sz w:val="18"/>
          <w:szCs w:val="18"/>
        </w:rPr>
        <w:t xml:space="preserve"> specializované ambulantní zdravotní služby</w:t>
      </w:r>
      <w:r w:rsidRPr="007A0C3E">
        <w:rPr>
          <w:rFonts w:ascii="Arial" w:hAnsi="Arial" w:cs="Arial"/>
          <w:sz w:val="18"/>
          <w:szCs w:val="18"/>
        </w:rPr>
        <w:t xml:space="preserve"> poskytované pojištěncům Zdravotní pojišťovny a </w:t>
      </w:r>
      <w:r w:rsidR="00997763">
        <w:rPr>
          <w:rFonts w:ascii="Arial" w:hAnsi="Arial" w:cs="Arial"/>
          <w:sz w:val="18"/>
          <w:szCs w:val="18"/>
        </w:rPr>
        <w:t>Z</w:t>
      </w:r>
      <w:r w:rsidRPr="007A0C3E">
        <w:rPr>
          <w:rFonts w:ascii="Arial" w:hAnsi="Arial" w:cs="Arial"/>
          <w:sz w:val="18"/>
          <w:szCs w:val="18"/>
        </w:rPr>
        <w:t xml:space="preserve">ahraničním pojištěncům v roce </w:t>
      </w:r>
      <w:r w:rsidR="001C2944">
        <w:rPr>
          <w:rFonts w:ascii="Arial" w:hAnsi="Arial" w:cs="Arial"/>
          <w:sz w:val="18"/>
          <w:szCs w:val="18"/>
        </w:rPr>
        <w:t>2019</w:t>
      </w:r>
      <w:r w:rsidR="001C2944" w:rsidRPr="007A0C3E">
        <w:rPr>
          <w:rFonts w:ascii="Arial" w:hAnsi="Arial" w:cs="Arial"/>
          <w:sz w:val="18"/>
          <w:szCs w:val="18"/>
        </w:rPr>
        <w:t xml:space="preserve"> </w:t>
      </w:r>
      <w:r w:rsidRPr="007A0C3E">
        <w:rPr>
          <w:rFonts w:ascii="Arial" w:hAnsi="Arial" w:cs="Arial"/>
          <w:sz w:val="18"/>
          <w:szCs w:val="18"/>
        </w:rPr>
        <w:t xml:space="preserve">Poskytovatelem, vykázané dle vyhlášky č. 134/1998 Sb., kterou se vydává seznam zdravotních výkonů s bodovými hodnotami, </w:t>
      </w:r>
      <w:r w:rsidR="000921E6">
        <w:rPr>
          <w:rFonts w:ascii="Arial" w:hAnsi="Arial" w:cs="Arial"/>
          <w:sz w:val="18"/>
          <w:szCs w:val="18"/>
        </w:rPr>
        <w:t>v platném znění</w:t>
      </w:r>
      <w:r w:rsidRPr="007A0C3E">
        <w:rPr>
          <w:rFonts w:ascii="Arial" w:hAnsi="Arial" w:cs="Arial"/>
          <w:sz w:val="18"/>
          <w:szCs w:val="18"/>
        </w:rPr>
        <w:t xml:space="preserve"> (dále jen „Seznam zdravotních výkonů“),</w:t>
      </w:r>
      <w:r w:rsidRPr="007A0C3E">
        <w:rPr>
          <w:rFonts w:ascii="Arial" w:hAnsi="Arial" w:cs="Arial"/>
          <w:b/>
          <w:sz w:val="18"/>
          <w:szCs w:val="18"/>
        </w:rPr>
        <w:t xml:space="preserve"> budou hrazeny </w:t>
      </w:r>
      <w:r w:rsidRPr="007A0C3E">
        <w:rPr>
          <w:rFonts w:ascii="Arial" w:hAnsi="Arial" w:cs="Arial"/>
          <w:sz w:val="18"/>
          <w:szCs w:val="18"/>
        </w:rPr>
        <w:t xml:space="preserve">úhradou za poskytnuté výkony, </w:t>
      </w:r>
      <w:r w:rsidR="000145A3">
        <w:rPr>
          <w:rFonts w:ascii="Arial" w:hAnsi="Arial" w:cs="Arial"/>
          <w:sz w:val="18"/>
          <w:szCs w:val="18"/>
        </w:rPr>
        <w:t xml:space="preserve">za </w:t>
      </w:r>
      <w:r w:rsidRPr="007A0C3E">
        <w:rPr>
          <w:rFonts w:ascii="Arial" w:hAnsi="Arial" w:cs="Arial"/>
          <w:sz w:val="18"/>
          <w:szCs w:val="18"/>
        </w:rPr>
        <w:t>zvlášť účtovan</w:t>
      </w:r>
      <w:r w:rsidR="000145A3">
        <w:rPr>
          <w:rFonts w:ascii="Arial" w:hAnsi="Arial" w:cs="Arial"/>
          <w:sz w:val="18"/>
          <w:szCs w:val="18"/>
        </w:rPr>
        <w:t>é</w:t>
      </w:r>
      <w:r w:rsidRPr="007A0C3E">
        <w:rPr>
          <w:rFonts w:ascii="Arial" w:hAnsi="Arial" w:cs="Arial"/>
          <w:sz w:val="18"/>
          <w:szCs w:val="18"/>
        </w:rPr>
        <w:t xml:space="preserve"> léčiv</w:t>
      </w:r>
      <w:r w:rsidR="000145A3">
        <w:rPr>
          <w:rFonts w:ascii="Arial" w:hAnsi="Arial" w:cs="Arial"/>
          <w:sz w:val="18"/>
          <w:szCs w:val="18"/>
        </w:rPr>
        <w:t>é</w:t>
      </w:r>
      <w:r w:rsidRPr="007A0C3E">
        <w:rPr>
          <w:rFonts w:ascii="Arial" w:hAnsi="Arial" w:cs="Arial"/>
          <w:sz w:val="18"/>
          <w:szCs w:val="18"/>
        </w:rPr>
        <w:t xml:space="preserve"> přípravk</w:t>
      </w:r>
      <w:r w:rsidR="000145A3">
        <w:rPr>
          <w:rFonts w:ascii="Arial" w:hAnsi="Arial" w:cs="Arial"/>
          <w:sz w:val="18"/>
          <w:szCs w:val="18"/>
        </w:rPr>
        <w:t>y</w:t>
      </w:r>
      <w:r w:rsidRPr="007A0C3E">
        <w:rPr>
          <w:rFonts w:ascii="Arial" w:hAnsi="Arial" w:cs="Arial"/>
          <w:sz w:val="18"/>
          <w:szCs w:val="18"/>
        </w:rPr>
        <w:t xml:space="preserve"> </w:t>
      </w:r>
      <w:r w:rsidR="00C31629">
        <w:rPr>
          <w:rFonts w:ascii="Arial" w:hAnsi="Arial" w:cs="Arial"/>
          <w:sz w:val="18"/>
          <w:szCs w:val="18"/>
        </w:rPr>
        <w:t>(dále jen „ZÚLP</w:t>
      </w:r>
      <w:r w:rsidR="00F43CC4">
        <w:rPr>
          <w:rFonts w:ascii="Arial" w:hAnsi="Arial" w:cs="Arial"/>
          <w:sz w:val="18"/>
          <w:szCs w:val="18"/>
        </w:rPr>
        <w:t>“</w:t>
      </w:r>
      <w:r w:rsidR="00C31629">
        <w:rPr>
          <w:rFonts w:ascii="Arial" w:hAnsi="Arial" w:cs="Arial"/>
          <w:sz w:val="18"/>
          <w:szCs w:val="18"/>
        </w:rPr>
        <w:t xml:space="preserve">) </w:t>
      </w:r>
      <w:r w:rsidRPr="007A0C3E">
        <w:rPr>
          <w:rFonts w:ascii="Arial" w:hAnsi="Arial" w:cs="Arial"/>
          <w:sz w:val="18"/>
          <w:szCs w:val="18"/>
        </w:rPr>
        <w:t>a zvlášť účtovan</w:t>
      </w:r>
      <w:r w:rsidR="00C31629">
        <w:rPr>
          <w:rFonts w:ascii="Arial" w:hAnsi="Arial" w:cs="Arial"/>
          <w:sz w:val="18"/>
          <w:szCs w:val="18"/>
        </w:rPr>
        <w:t xml:space="preserve">ý </w:t>
      </w:r>
      <w:r w:rsidR="00757027">
        <w:rPr>
          <w:rFonts w:ascii="Arial" w:hAnsi="Arial" w:cs="Arial"/>
          <w:sz w:val="18"/>
          <w:szCs w:val="18"/>
        </w:rPr>
        <w:t xml:space="preserve">zdravotnický </w:t>
      </w:r>
      <w:r w:rsidR="00C31629">
        <w:rPr>
          <w:rFonts w:ascii="Arial" w:hAnsi="Arial" w:cs="Arial"/>
          <w:sz w:val="18"/>
          <w:szCs w:val="18"/>
        </w:rPr>
        <w:t>materiál (dále jen „ZÚM</w:t>
      </w:r>
      <w:r w:rsidR="00F43CC4">
        <w:rPr>
          <w:rFonts w:ascii="Arial" w:hAnsi="Arial" w:cs="Arial"/>
          <w:sz w:val="18"/>
          <w:szCs w:val="18"/>
        </w:rPr>
        <w:t>“</w:t>
      </w:r>
      <w:r w:rsidR="00C31629">
        <w:rPr>
          <w:rFonts w:ascii="Arial" w:hAnsi="Arial" w:cs="Arial"/>
          <w:sz w:val="18"/>
          <w:szCs w:val="18"/>
        </w:rPr>
        <w:t>)</w:t>
      </w:r>
      <w:r w:rsidR="001939A7" w:rsidRPr="007A0C3E">
        <w:rPr>
          <w:rFonts w:ascii="Arial" w:hAnsi="Arial" w:cs="Arial"/>
          <w:sz w:val="18"/>
          <w:szCs w:val="18"/>
        </w:rPr>
        <w:t xml:space="preserve"> s hodnotou bodu ve výši </w:t>
      </w:r>
      <w:r w:rsidR="00E43658">
        <w:rPr>
          <w:rFonts w:ascii="Arial" w:hAnsi="Arial" w:cs="Arial"/>
          <w:sz w:val="18"/>
          <w:szCs w:val="18"/>
        </w:rPr>
        <w:t>1,06</w:t>
      </w:r>
      <w:r w:rsidRPr="007A0C3E">
        <w:rPr>
          <w:rFonts w:ascii="Arial" w:hAnsi="Arial" w:cs="Arial"/>
          <w:sz w:val="18"/>
          <w:szCs w:val="18"/>
        </w:rPr>
        <w:t xml:space="preserve"> Kč / bod</w:t>
      </w:r>
      <w:r w:rsidR="0044183F">
        <w:rPr>
          <w:rFonts w:ascii="Arial" w:hAnsi="Arial" w:cs="Arial"/>
          <w:sz w:val="18"/>
          <w:szCs w:val="18"/>
        </w:rPr>
        <w:t xml:space="preserve"> s výjimkou výkonu 89312, pro který se stanoví hodnota bodu ve výši </w:t>
      </w:r>
      <w:r w:rsidR="00E43658">
        <w:rPr>
          <w:rFonts w:ascii="Arial" w:hAnsi="Arial" w:cs="Arial"/>
          <w:sz w:val="18"/>
          <w:szCs w:val="18"/>
        </w:rPr>
        <w:t>1,02</w:t>
      </w:r>
      <w:r w:rsidR="0044183F">
        <w:rPr>
          <w:rFonts w:ascii="Arial" w:hAnsi="Arial" w:cs="Arial"/>
          <w:sz w:val="18"/>
          <w:szCs w:val="18"/>
        </w:rPr>
        <w:t xml:space="preserve"> Kč / bod.</w:t>
      </w:r>
    </w:p>
    <w:p w14:paraId="4EB922A6" w14:textId="03ADED73" w:rsidR="001831AF" w:rsidRPr="007A0C3E" w:rsidRDefault="001831AF" w:rsidP="00D65DDD">
      <w:pPr>
        <w:pStyle w:val="Zkladntext3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7A0C3E">
        <w:rPr>
          <w:rFonts w:ascii="Arial" w:hAnsi="Arial" w:cs="Arial"/>
          <w:sz w:val="18"/>
          <w:szCs w:val="18"/>
          <w:highlight w:val="cyan"/>
        </w:rPr>
        <w:t>if odb = “705“ then</w:t>
      </w:r>
      <w:r w:rsidRPr="007A0C3E">
        <w:rPr>
          <w:rFonts w:ascii="Arial" w:hAnsi="Arial" w:cs="Arial"/>
          <w:sz w:val="18"/>
          <w:szCs w:val="18"/>
        </w:rPr>
        <w:t>Pro ocenění kódů výkonů č. 75347</w:t>
      </w:r>
      <w:r>
        <w:rPr>
          <w:rFonts w:ascii="Arial" w:hAnsi="Arial" w:cs="Arial"/>
          <w:sz w:val="18"/>
          <w:szCs w:val="18"/>
        </w:rPr>
        <w:t>,</w:t>
      </w:r>
      <w:r w:rsidRPr="007A0C3E">
        <w:rPr>
          <w:rFonts w:ascii="Arial" w:hAnsi="Arial" w:cs="Arial"/>
          <w:sz w:val="18"/>
          <w:szCs w:val="18"/>
        </w:rPr>
        <w:t xml:space="preserve"> 75348</w:t>
      </w:r>
      <w:r>
        <w:rPr>
          <w:rFonts w:ascii="Arial" w:hAnsi="Arial" w:cs="Arial"/>
          <w:sz w:val="18"/>
          <w:szCs w:val="18"/>
        </w:rPr>
        <w:t xml:space="preserve"> a 75427</w:t>
      </w:r>
      <w:r w:rsidRPr="007A0C3E">
        <w:rPr>
          <w:rFonts w:ascii="Arial" w:hAnsi="Arial" w:cs="Arial"/>
          <w:sz w:val="18"/>
          <w:szCs w:val="18"/>
        </w:rPr>
        <w:t xml:space="preserve"> bude použita hodnota bodu </w:t>
      </w:r>
      <w:r>
        <w:rPr>
          <w:rFonts w:ascii="Arial" w:hAnsi="Arial" w:cs="Arial"/>
          <w:sz w:val="18"/>
          <w:szCs w:val="18"/>
        </w:rPr>
        <w:t>0,70</w:t>
      </w:r>
      <w:r w:rsidRPr="007A0C3E">
        <w:rPr>
          <w:rFonts w:ascii="Arial" w:hAnsi="Arial" w:cs="Arial"/>
          <w:sz w:val="18"/>
          <w:szCs w:val="18"/>
        </w:rPr>
        <w:t xml:space="preserve"> Kč/bod.</w:t>
      </w:r>
    </w:p>
    <w:p w14:paraId="4CA15C08" w14:textId="50D8CE35" w:rsidR="001831AF" w:rsidRDefault="001831AF" w:rsidP="001831AF">
      <w:pPr>
        <w:pStyle w:val="Zkladntext3"/>
        <w:spacing w:after="0"/>
        <w:ind w:left="357"/>
        <w:jc w:val="both"/>
        <w:rPr>
          <w:rFonts w:ascii="Arial" w:hAnsi="Arial" w:cs="Arial"/>
          <w:sz w:val="18"/>
          <w:szCs w:val="18"/>
        </w:rPr>
      </w:pPr>
      <w:r w:rsidRPr="007A0C3E">
        <w:rPr>
          <w:rFonts w:ascii="Arial" w:hAnsi="Arial" w:cs="Arial"/>
          <w:sz w:val="18"/>
          <w:szCs w:val="18"/>
          <w:highlight w:val="cyan"/>
        </w:rPr>
        <w:t>if odb = “403“ then</w:t>
      </w:r>
      <w:r w:rsidRPr="007A0C3E">
        <w:rPr>
          <w:rFonts w:ascii="Arial" w:hAnsi="Arial" w:cs="Arial"/>
          <w:sz w:val="18"/>
          <w:szCs w:val="18"/>
        </w:rPr>
        <w:t xml:space="preserve">Pro ocenění kódů výkonů č. 43311, 43313, 43315, 43613, 43617, 43627, 43629 a 43633 bude použita hodnota bodu </w:t>
      </w:r>
      <w:r>
        <w:rPr>
          <w:rFonts w:ascii="Arial" w:hAnsi="Arial" w:cs="Arial"/>
          <w:sz w:val="18"/>
          <w:szCs w:val="18"/>
        </w:rPr>
        <w:t>0,70</w:t>
      </w:r>
      <w:r w:rsidRPr="007A0C3E">
        <w:rPr>
          <w:rFonts w:ascii="Arial" w:hAnsi="Arial" w:cs="Arial"/>
          <w:sz w:val="18"/>
          <w:szCs w:val="18"/>
        </w:rPr>
        <w:t xml:space="preserve"> Kč/bod</w:t>
      </w:r>
      <w:r>
        <w:rPr>
          <w:rFonts w:ascii="Arial" w:hAnsi="Arial" w:cs="Arial"/>
          <w:sz w:val="18"/>
          <w:szCs w:val="18"/>
        </w:rPr>
        <w:t xml:space="preserve"> a pro výkony 43652 a 43653 </w:t>
      </w:r>
      <w:r w:rsidRPr="007A0C3E">
        <w:rPr>
          <w:rFonts w:ascii="Arial" w:hAnsi="Arial" w:cs="Arial"/>
          <w:sz w:val="18"/>
          <w:szCs w:val="18"/>
        </w:rPr>
        <w:t xml:space="preserve">bude použita hodnota bodu </w:t>
      </w:r>
      <w:r>
        <w:rPr>
          <w:rFonts w:ascii="Arial" w:hAnsi="Arial" w:cs="Arial"/>
          <w:sz w:val="18"/>
          <w:szCs w:val="18"/>
        </w:rPr>
        <w:t>1,02</w:t>
      </w:r>
      <w:r w:rsidRPr="007A0C3E">
        <w:rPr>
          <w:rFonts w:ascii="Arial" w:hAnsi="Arial" w:cs="Arial"/>
          <w:sz w:val="18"/>
          <w:szCs w:val="18"/>
        </w:rPr>
        <w:t xml:space="preserve"> Kč/bod.</w:t>
      </w:r>
    </w:p>
    <w:p w14:paraId="3B1FBBD4" w14:textId="4D8701E7" w:rsidR="001F6706" w:rsidRPr="00D65DDD" w:rsidRDefault="008E3345" w:rsidP="00085418">
      <w:pPr>
        <w:pStyle w:val="Textodstavce"/>
        <w:numPr>
          <w:ilvl w:val="0"/>
          <w:numId w:val="6"/>
        </w:numPr>
        <w:tabs>
          <w:tab w:val="clear" w:pos="851"/>
          <w:tab w:val="left" w:pos="1418"/>
        </w:tabs>
        <w:spacing w:before="0" w:after="0"/>
        <w:ind w:left="357"/>
        <w:rPr>
          <w:rFonts w:ascii="Arial" w:hAnsi="Arial"/>
          <w:b/>
          <w:sz w:val="18"/>
          <w:szCs w:val="18"/>
        </w:rPr>
      </w:pPr>
      <w:r w:rsidRPr="001F6706">
        <w:rPr>
          <w:rFonts w:ascii="Arial" w:hAnsi="Arial" w:cs="Arial"/>
          <w:sz w:val="18"/>
          <w:szCs w:val="18"/>
        </w:rPr>
        <w:t>Hodnota bodu se za každou následující splněnou podmínk</w:t>
      </w:r>
      <w:r w:rsidR="000C6650" w:rsidRPr="001F6706">
        <w:rPr>
          <w:rFonts w:ascii="Arial" w:hAnsi="Arial" w:cs="Arial"/>
          <w:sz w:val="18"/>
          <w:szCs w:val="18"/>
        </w:rPr>
        <w:t>u dále navýší o 0,01 Kč</w:t>
      </w:r>
      <w:r w:rsidR="00D33B51">
        <w:rPr>
          <w:rFonts w:ascii="Arial" w:hAnsi="Arial" w:cs="Arial"/>
          <w:sz w:val="18"/>
          <w:szCs w:val="18"/>
        </w:rPr>
        <w:t>. Poskytovatel je povinen tyto skutečnosti doložit Zdravotní pojišťovně do 31.3.2019.</w:t>
      </w:r>
    </w:p>
    <w:p w14:paraId="50B56BEC" w14:textId="4FF77654" w:rsidR="001F6706" w:rsidRPr="00AD7B44" w:rsidRDefault="001F6706" w:rsidP="00D65DDD">
      <w:pPr>
        <w:pStyle w:val="Textodstavce"/>
        <w:numPr>
          <w:ilvl w:val="0"/>
          <w:numId w:val="25"/>
        </w:numPr>
        <w:tabs>
          <w:tab w:val="clear" w:pos="851"/>
        </w:tabs>
        <w:spacing w:before="0"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v případě, že </w:t>
      </w:r>
      <w:r w:rsidR="00757027">
        <w:rPr>
          <w:rFonts w:ascii="Arial" w:hAnsi="Arial" w:cs="Arial"/>
          <w:bCs/>
          <w:iCs/>
          <w:sz w:val="18"/>
          <w:szCs w:val="18"/>
        </w:rPr>
        <w:t>P</w:t>
      </w:r>
      <w:r>
        <w:rPr>
          <w:rFonts w:ascii="Arial" w:hAnsi="Arial" w:cs="Arial"/>
          <w:bCs/>
          <w:iCs/>
          <w:sz w:val="18"/>
          <w:szCs w:val="18"/>
        </w:rPr>
        <w:t xml:space="preserve">oskytovatel doloží, že nejméně 50% lékařů nebo nelékařských zdravotnických pracovníků, kteří v rámci </w:t>
      </w:r>
      <w:r w:rsidR="00757027">
        <w:rPr>
          <w:rFonts w:ascii="Arial" w:hAnsi="Arial" w:cs="Arial"/>
          <w:bCs/>
          <w:iCs/>
          <w:sz w:val="18"/>
          <w:szCs w:val="18"/>
        </w:rPr>
        <w:t>P</w:t>
      </w:r>
      <w:r>
        <w:rPr>
          <w:rFonts w:ascii="Arial" w:hAnsi="Arial" w:cs="Arial"/>
          <w:bCs/>
          <w:iCs/>
          <w:sz w:val="18"/>
          <w:szCs w:val="18"/>
        </w:rPr>
        <w:t>oskytovatele poskytují hrazené služby pojištěncům Zdravotní pojišťovny, jsou k 1.1.2019 držiteli platného dokladu o celoživotním vzdělávání lékařů nebo obdobného dokladu příslušné profesní organizace</w:t>
      </w:r>
      <w:r w:rsidR="00757027">
        <w:rPr>
          <w:rFonts w:ascii="Arial" w:hAnsi="Arial" w:cs="Arial"/>
          <w:bCs/>
          <w:iCs/>
          <w:sz w:val="18"/>
          <w:szCs w:val="18"/>
        </w:rPr>
        <w:t>;</w:t>
      </w:r>
    </w:p>
    <w:p w14:paraId="5AFA10E1" w14:textId="63835266" w:rsidR="001F6706" w:rsidRPr="00AD7B44" w:rsidRDefault="001F6706" w:rsidP="00D65DDD">
      <w:pPr>
        <w:pStyle w:val="Textodstavce"/>
        <w:numPr>
          <w:ilvl w:val="0"/>
          <w:numId w:val="25"/>
        </w:numPr>
        <w:tabs>
          <w:tab w:val="clear" w:pos="851"/>
        </w:tabs>
        <w:spacing w:before="0"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pro danou odbornost v případě, že </w:t>
      </w:r>
      <w:r w:rsidR="00757027">
        <w:rPr>
          <w:rFonts w:ascii="Arial" w:hAnsi="Arial" w:cs="Arial"/>
          <w:bCs/>
          <w:iCs/>
          <w:sz w:val="18"/>
          <w:szCs w:val="18"/>
        </w:rPr>
        <w:t>P</w:t>
      </w:r>
      <w:r>
        <w:rPr>
          <w:rFonts w:ascii="Arial" w:hAnsi="Arial" w:cs="Arial"/>
          <w:bCs/>
          <w:iCs/>
          <w:sz w:val="18"/>
          <w:szCs w:val="18"/>
        </w:rPr>
        <w:t>oskytovatel alespoň u jednoho pracoviště (IČP) v dané odbornosti poskytuje hrazené služby v rozsahu alespoň 30 ordinačních hodin rozložených do 5 pracovních dnů týdně, resp</w:t>
      </w:r>
      <w:r w:rsidR="00875C26">
        <w:rPr>
          <w:rFonts w:ascii="Arial" w:hAnsi="Arial" w:cs="Arial"/>
          <w:bCs/>
          <w:iCs/>
          <w:sz w:val="18"/>
          <w:szCs w:val="18"/>
        </w:rPr>
        <w:t>e</w:t>
      </w:r>
      <w:r>
        <w:rPr>
          <w:rFonts w:ascii="Arial" w:hAnsi="Arial" w:cs="Arial"/>
          <w:bCs/>
          <w:iCs/>
          <w:sz w:val="18"/>
          <w:szCs w:val="18"/>
        </w:rPr>
        <w:t>ktive 24 hodin týdně rozložených do 4 dnů týdně u operačních oborů</w:t>
      </w:r>
      <w:r w:rsidR="00757027">
        <w:rPr>
          <w:rFonts w:ascii="Arial" w:hAnsi="Arial" w:cs="Arial"/>
          <w:bCs/>
          <w:iCs/>
          <w:sz w:val="18"/>
          <w:szCs w:val="18"/>
        </w:rPr>
        <w:t>;</w:t>
      </w:r>
    </w:p>
    <w:p w14:paraId="79230CF8" w14:textId="3FFD03BF" w:rsidR="001F6706" w:rsidRPr="00D65DDD" w:rsidRDefault="001F6706" w:rsidP="00D65DDD">
      <w:pPr>
        <w:pStyle w:val="Odstavecseseznamem"/>
        <w:numPr>
          <w:ilvl w:val="0"/>
          <w:numId w:val="25"/>
        </w:numPr>
        <w:tabs>
          <w:tab w:val="left" w:pos="1418"/>
        </w:tabs>
        <w:jc w:val="both"/>
        <w:rPr>
          <w:rFonts w:ascii="Arial" w:hAnsi="Arial"/>
          <w:b/>
          <w:sz w:val="18"/>
          <w:szCs w:val="18"/>
        </w:rPr>
      </w:pPr>
      <w:r w:rsidRPr="00AD7B44">
        <w:rPr>
          <w:rFonts w:ascii="Arial" w:hAnsi="Arial" w:cs="Arial"/>
          <w:bCs/>
          <w:iCs/>
          <w:sz w:val="18"/>
          <w:szCs w:val="18"/>
        </w:rPr>
        <w:t xml:space="preserve">pro danou odbornost v případě, že </w:t>
      </w:r>
      <w:r w:rsidR="00757027">
        <w:rPr>
          <w:rFonts w:ascii="Arial" w:hAnsi="Arial" w:cs="Arial"/>
          <w:bCs/>
          <w:iCs/>
          <w:sz w:val="18"/>
          <w:szCs w:val="18"/>
        </w:rPr>
        <w:t>P</w:t>
      </w:r>
      <w:r w:rsidRPr="00AD7B44">
        <w:rPr>
          <w:rFonts w:ascii="Arial" w:hAnsi="Arial" w:cs="Arial"/>
          <w:bCs/>
          <w:iCs/>
          <w:sz w:val="18"/>
          <w:szCs w:val="18"/>
        </w:rPr>
        <w:t>oskytovatel alespoň u jednoho pracoviště (IČP) v dané odbornosti má alespoň 2 dny v týdnu ordinační hodiny prodlouženy do 18:00 hodin nebo alespoň 2 dny v týdnu má začátek ordinační doby od 7:00 hodin nebo alespoň 1 den v týdnu od 7:00 hodin a zároveň alespoň 1 den v týdnu do 18:00 hodin</w:t>
      </w:r>
      <w:r w:rsidR="00757027">
        <w:rPr>
          <w:rFonts w:ascii="Arial" w:hAnsi="Arial" w:cs="Arial"/>
          <w:bCs/>
          <w:iCs/>
          <w:sz w:val="18"/>
          <w:szCs w:val="18"/>
        </w:rPr>
        <w:t>.</w:t>
      </w:r>
    </w:p>
    <w:p w14:paraId="318441EB" w14:textId="680EC653" w:rsidR="008A47D9" w:rsidRPr="001F6706" w:rsidRDefault="008E1F48" w:rsidP="00085418">
      <w:pPr>
        <w:pStyle w:val="Textodstavce"/>
        <w:numPr>
          <w:ilvl w:val="0"/>
          <w:numId w:val="6"/>
        </w:numPr>
        <w:tabs>
          <w:tab w:val="clear" w:pos="851"/>
          <w:tab w:val="left" w:pos="1418"/>
        </w:tabs>
        <w:spacing w:before="0" w:after="0"/>
        <w:ind w:left="357"/>
        <w:rPr>
          <w:rFonts w:ascii="Arial" w:hAnsi="Arial"/>
          <w:b/>
          <w:sz w:val="18"/>
          <w:szCs w:val="18"/>
        </w:rPr>
      </w:pPr>
      <w:r w:rsidRPr="001F6706">
        <w:rPr>
          <w:rFonts w:ascii="Arial" w:hAnsi="Arial" w:cs="Arial"/>
          <w:sz w:val="18"/>
          <w:szCs w:val="18"/>
        </w:rPr>
        <w:t xml:space="preserve">Celková výše úhrady Zdravotní pojišťovny Poskytovateli za rok </w:t>
      </w:r>
      <w:r w:rsidR="001C2944" w:rsidRPr="001F6706">
        <w:rPr>
          <w:rFonts w:ascii="Arial" w:hAnsi="Arial" w:cs="Arial"/>
          <w:sz w:val="18"/>
          <w:szCs w:val="18"/>
        </w:rPr>
        <w:t xml:space="preserve">2019 </w:t>
      </w:r>
      <w:r w:rsidRPr="001F6706">
        <w:rPr>
          <w:rFonts w:ascii="Arial" w:hAnsi="Arial" w:cs="Arial"/>
          <w:sz w:val="18"/>
          <w:szCs w:val="18"/>
        </w:rPr>
        <w:t>nepřekročí částku, která se vypočte takto:</w:t>
      </w:r>
    </w:p>
    <w:p w14:paraId="1F7B0ECB" w14:textId="1EB229B8" w:rsidR="002F5822" w:rsidRDefault="006716F7" w:rsidP="002F5822">
      <w:pPr>
        <w:pStyle w:val="Odstavecseseznamem"/>
        <w:tabs>
          <w:tab w:val="left" w:pos="1418"/>
        </w:tabs>
        <w:ind w:left="1418" w:hanging="992"/>
        <w:jc w:val="both"/>
        <w:rPr>
          <w:rFonts w:ascii="Arial" w:hAnsi="Arial" w:cs="Arial"/>
          <w:sz w:val="18"/>
          <w:szCs w:val="18"/>
          <w:highlight w:val="cyan"/>
        </w:rPr>
      </w:pPr>
      <w:r>
        <w:rPr>
          <w:rFonts w:ascii="Arial" w:hAnsi="Arial" w:cs="Arial"/>
          <w:b/>
          <w:bCs/>
          <w:iCs/>
          <w:sz w:val="18"/>
          <w:szCs w:val="18"/>
        </w:rPr>
        <w:t>(</w:t>
      </w:r>
      <w:r w:rsidRPr="004B1BFA">
        <w:rPr>
          <w:rFonts w:ascii="Arial" w:hAnsi="Arial" w:cs="Arial"/>
          <w:b/>
          <w:bCs/>
          <w:iCs/>
          <w:sz w:val="18"/>
          <w:szCs w:val="18"/>
          <w:highlight w:val="yellow"/>
        </w:rPr>
        <w:t>index (char5)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+ KN) </w:t>
      </w:r>
      <w:r w:rsidR="0044183F">
        <w:rPr>
          <w:rFonts w:ascii="Arial" w:hAnsi="Arial" w:cs="Arial"/>
          <w:b/>
          <w:bCs/>
          <w:iCs/>
          <w:sz w:val="18"/>
          <w:szCs w:val="18"/>
        </w:rPr>
        <w:t xml:space="preserve">x </w:t>
      </w:r>
      <w:r w:rsidR="008E1F48" w:rsidRPr="007A0C3E">
        <w:rPr>
          <w:rFonts w:ascii="Arial" w:hAnsi="Arial" w:cs="Arial"/>
          <w:b/>
          <w:bCs/>
          <w:iCs/>
          <w:sz w:val="18"/>
          <w:szCs w:val="18"/>
        </w:rPr>
        <w:t>POPzpo x PUROo</w:t>
      </w:r>
    </w:p>
    <w:p w14:paraId="1BCF2815" w14:textId="7555561F" w:rsidR="008E1F48" w:rsidRPr="007A0C3E" w:rsidRDefault="00CA15B2" w:rsidP="006910CA">
      <w:pPr>
        <w:pStyle w:val="Odstavecseseznamem"/>
        <w:tabs>
          <w:tab w:val="num" w:pos="426"/>
        </w:tabs>
        <w:spacing w:after="120"/>
        <w:ind w:left="357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A0C3E">
        <w:rPr>
          <w:rFonts w:ascii="Arial" w:hAnsi="Arial" w:cs="Arial"/>
          <w:b/>
          <w:bCs/>
          <w:iCs/>
          <w:sz w:val="18"/>
          <w:szCs w:val="18"/>
        </w:rPr>
        <w:tab/>
      </w:r>
      <w:r w:rsidR="008E1F48" w:rsidRPr="007A0C3E">
        <w:rPr>
          <w:rFonts w:ascii="Arial" w:hAnsi="Arial" w:cs="Arial"/>
          <w:bCs/>
          <w:iCs/>
          <w:sz w:val="18"/>
          <w:szCs w:val="18"/>
          <w:lang w:val="en-US"/>
        </w:rPr>
        <w:t>kde</w:t>
      </w:r>
    </w:p>
    <w:p w14:paraId="6CF423E7" w14:textId="14E7D3AC" w:rsidR="008E1F48" w:rsidRPr="007A0C3E" w:rsidRDefault="008E1F48" w:rsidP="008E1F48">
      <w:pPr>
        <w:pStyle w:val="Odstavecseseznamem"/>
        <w:tabs>
          <w:tab w:val="left" w:pos="1418"/>
        </w:tabs>
        <w:ind w:left="1418" w:hanging="992"/>
        <w:jc w:val="both"/>
        <w:rPr>
          <w:rFonts w:ascii="Arial" w:hAnsi="Arial" w:cs="Arial"/>
          <w:bCs/>
          <w:sz w:val="18"/>
          <w:szCs w:val="18"/>
        </w:rPr>
      </w:pPr>
      <w:r w:rsidRPr="007A0C3E">
        <w:rPr>
          <w:rFonts w:ascii="Arial" w:hAnsi="Arial" w:cs="Arial"/>
          <w:b/>
          <w:bCs/>
          <w:iCs/>
          <w:sz w:val="18"/>
          <w:szCs w:val="18"/>
        </w:rPr>
        <w:t>POPzpo</w:t>
      </w:r>
      <w:r w:rsidRPr="007A0C3E">
        <w:rPr>
          <w:rFonts w:ascii="Arial" w:hAnsi="Arial" w:cs="Arial"/>
          <w:sz w:val="18"/>
          <w:szCs w:val="18"/>
          <w:vertAlign w:val="subscript"/>
        </w:rPr>
        <w:tab/>
      </w:r>
      <w:r w:rsidRPr="007A0C3E">
        <w:rPr>
          <w:rFonts w:ascii="Arial" w:hAnsi="Arial" w:cs="Arial"/>
          <w:sz w:val="18"/>
          <w:szCs w:val="18"/>
        </w:rPr>
        <w:t xml:space="preserve">je počet unikátních pojištěnců </w:t>
      </w:r>
      <w:r w:rsidRPr="007A0C3E">
        <w:rPr>
          <w:rFonts w:ascii="Arial" w:hAnsi="Arial" w:cs="Arial"/>
          <w:color w:val="000000"/>
          <w:sz w:val="18"/>
          <w:szCs w:val="18"/>
        </w:rPr>
        <w:t>ošetřených v dané odbornosti</w:t>
      </w:r>
      <w:r w:rsidR="00AF3E6F">
        <w:rPr>
          <w:rFonts w:ascii="Arial" w:hAnsi="Arial" w:cs="Arial"/>
          <w:color w:val="000000"/>
          <w:sz w:val="18"/>
          <w:szCs w:val="18"/>
        </w:rPr>
        <w:t xml:space="preserve"> Poskytovatelem</w:t>
      </w:r>
      <w:r w:rsidRPr="007A0C3E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0C3E">
        <w:rPr>
          <w:rFonts w:ascii="Arial" w:hAnsi="Arial" w:cs="Arial"/>
          <w:sz w:val="18"/>
          <w:szCs w:val="18"/>
        </w:rPr>
        <w:t>v hodnoceném období</w:t>
      </w:r>
      <w:r w:rsidR="00877B93" w:rsidRPr="007A0C3E">
        <w:rPr>
          <w:rFonts w:ascii="Arial" w:hAnsi="Arial" w:cs="Arial"/>
          <w:sz w:val="18"/>
          <w:szCs w:val="18"/>
        </w:rPr>
        <w:t>.</w:t>
      </w:r>
      <w:r w:rsidRPr="007A0C3E">
        <w:rPr>
          <w:rFonts w:ascii="Arial" w:hAnsi="Arial" w:cs="Arial"/>
          <w:sz w:val="18"/>
          <w:szCs w:val="18"/>
        </w:rPr>
        <w:t xml:space="preserve"> </w:t>
      </w:r>
      <w:r w:rsidR="00877B93" w:rsidRPr="007A0C3E">
        <w:rPr>
          <w:rFonts w:ascii="Arial" w:hAnsi="Arial" w:cs="Arial"/>
          <w:sz w:val="18"/>
          <w:szCs w:val="18"/>
        </w:rPr>
        <w:t>D</w:t>
      </w:r>
      <w:r w:rsidRPr="007A0C3E">
        <w:rPr>
          <w:rFonts w:ascii="Arial" w:hAnsi="Arial" w:cs="Arial"/>
          <w:sz w:val="18"/>
          <w:szCs w:val="18"/>
        </w:rPr>
        <w:t xml:space="preserve">o </w:t>
      </w:r>
      <w:r w:rsidRPr="007A0C3E">
        <w:rPr>
          <w:rFonts w:ascii="Arial" w:hAnsi="Arial" w:cs="Arial"/>
          <w:bCs/>
          <w:sz w:val="18"/>
          <w:szCs w:val="18"/>
        </w:rPr>
        <w:t xml:space="preserve">počtu unikátních pojištěnců </w:t>
      </w:r>
      <w:r w:rsidR="00877B93" w:rsidRPr="007A0C3E">
        <w:rPr>
          <w:rFonts w:ascii="Arial" w:hAnsi="Arial" w:cs="Arial"/>
          <w:bCs/>
          <w:sz w:val="18"/>
          <w:szCs w:val="18"/>
        </w:rPr>
        <w:t xml:space="preserve">Zdravotní pojišťovny </w:t>
      </w:r>
      <w:r w:rsidRPr="007A0C3E">
        <w:rPr>
          <w:rFonts w:ascii="Arial" w:hAnsi="Arial" w:cs="Arial"/>
          <w:bCs/>
          <w:sz w:val="18"/>
          <w:szCs w:val="18"/>
        </w:rPr>
        <w:t xml:space="preserve">se nezahrnou unikátní pojištěnci, na které byl vykázán pouze výkon č. 09513 podle </w:t>
      </w:r>
      <w:r w:rsidR="00877B93" w:rsidRPr="007A0C3E">
        <w:rPr>
          <w:rFonts w:ascii="Arial" w:hAnsi="Arial" w:cs="Arial"/>
          <w:bCs/>
          <w:sz w:val="18"/>
          <w:szCs w:val="18"/>
        </w:rPr>
        <w:t>S</w:t>
      </w:r>
      <w:r w:rsidRPr="007A0C3E">
        <w:rPr>
          <w:rFonts w:ascii="Arial" w:hAnsi="Arial" w:cs="Arial"/>
          <w:bCs/>
          <w:sz w:val="18"/>
          <w:szCs w:val="18"/>
        </w:rPr>
        <w:t xml:space="preserve">eznamu </w:t>
      </w:r>
      <w:r w:rsidR="00877B93" w:rsidRPr="007A0C3E">
        <w:rPr>
          <w:rFonts w:ascii="Arial" w:hAnsi="Arial" w:cs="Arial"/>
          <w:bCs/>
          <w:sz w:val="18"/>
          <w:szCs w:val="18"/>
        </w:rPr>
        <w:t xml:space="preserve">zdravotních </w:t>
      </w:r>
      <w:r w:rsidRPr="007A0C3E">
        <w:rPr>
          <w:rFonts w:ascii="Arial" w:hAnsi="Arial" w:cs="Arial"/>
          <w:bCs/>
          <w:sz w:val="18"/>
          <w:szCs w:val="18"/>
        </w:rPr>
        <w:t>výkonů.</w:t>
      </w:r>
    </w:p>
    <w:p w14:paraId="20E5E458" w14:textId="79CB4B61" w:rsidR="002F0FA3" w:rsidRPr="007A0C3E" w:rsidRDefault="002F0FA3" w:rsidP="008E1F48">
      <w:pPr>
        <w:pStyle w:val="Odstavecseseznamem"/>
        <w:tabs>
          <w:tab w:val="left" w:pos="1418"/>
        </w:tabs>
        <w:ind w:left="1418" w:hanging="992"/>
        <w:jc w:val="both"/>
        <w:rPr>
          <w:rFonts w:ascii="Arial" w:hAnsi="Arial" w:cs="Arial"/>
          <w:sz w:val="18"/>
          <w:szCs w:val="18"/>
        </w:rPr>
      </w:pPr>
      <w:r w:rsidRPr="007A0C3E">
        <w:rPr>
          <w:rFonts w:ascii="Arial" w:hAnsi="Arial" w:cs="Arial"/>
          <w:sz w:val="18"/>
          <w:szCs w:val="18"/>
          <w:highlight w:val="cyan"/>
        </w:rPr>
        <w:t>If var = 1 then</w:t>
      </w:r>
    </w:p>
    <w:p w14:paraId="6D1247EE" w14:textId="6EFE1DC0" w:rsidR="008E1F48" w:rsidRPr="007A0C3E" w:rsidRDefault="008E1F48" w:rsidP="008E1F48">
      <w:pPr>
        <w:pStyle w:val="Odstavecseseznamem"/>
        <w:tabs>
          <w:tab w:val="left" w:pos="1418"/>
        </w:tabs>
        <w:ind w:left="1418" w:hanging="992"/>
        <w:jc w:val="both"/>
        <w:rPr>
          <w:rFonts w:ascii="Arial" w:hAnsi="Arial" w:cs="Arial"/>
          <w:sz w:val="18"/>
          <w:szCs w:val="18"/>
        </w:rPr>
      </w:pPr>
      <w:r w:rsidRPr="007A0C3E">
        <w:rPr>
          <w:rFonts w:ascii="Arial" w:hAnsi="Arial" w:cs="Arial"/>
          <w:b/>
          <w:bCs/>
          <w:iCs/>
          <w:sz w:val="18"/>
          <w:szCs w:val="18"/>
        </w:rPr>
        <w:lastRenderedPageBreak/>
        <w:t>PUROo</w:t>
      </w:r>
      <w:r w:rsidRPr="007A0C3E">
        <w:rPr>
          <w:rFonts w:ascii="Arial" w:hAnsi="Arial" w:cs="Arial"/>
          <w:b/>
          <w:bCs/>
          <w:iCs/>
          <w:sz w:val="18"/>
          <w:szCs w:val="18"/>
        </w:rPr>
        <w:tab/>
      </w:r>
      <w:r w:rsidRPr="007A0C3E">
        <w:rPr>
          <w:rFonts w:ascii="Arial" w:hAnsi="Arial" w:cs="Arial"/>
          <w:bCs/>
          <w:iCs/>
          <w:sz w:val="18"/>
          <w:szCs w:val="18"/>
        </w:rPr>
        <w:t xml:space="preserve">je </w:t>
      </w:r>
      <w:r w:rsidRPr="007A0C3E">
        <w:rPr>
          <w:rFonts w:ascii="Arial" w:hAnsi="Arial" w:cs="Arial"/>
          <w:sz w:val="18"/>
          <w:szCs w:val="18"/>
        </w:rPr>
        <w:t xml:space="preserve">průměrná úhrada za výkony podle </w:t>
      </w:r>
      <w:r w:rsidR="00877B93" w:rsidRPr="007A0C3E">
        <w:rPr>
          <w:rFonts w:ascii="Arial" w:hAnsi="Arial" w:cs="Arial"/>
          <w:sz w:val="18"/>
          <w:szCs w:val="18"/>
        </w:rPr>
        <w:t>S</w:t>
      </w:r>
      <w:r w:rsidRPr="007A0C3E">
        <w:rPr>
          <w:rFonts w:ascii="Arial" w:hAnsi="Arial" w:cs="Arial"/>
          <w:sz w:val="18"/>
          <w:szCs w:val="18"/>
        </w:rPr>
        <w:t>eznamu</w:t>
      </w:r>
      <w:r w:rsidR="00877B93" w:rsidRPr="007A0C3E">
        <w:rPr>
          <w:rFonts w:ascii="Arial" w:hAnsi="Arial" w:cs="Arial"/>
          <w:sz w:val="18"/>
          <w:szCs w:val="18"/>
        </w:rPr>
        <w:t xml:space="preserve"> zdravotních</w:t>
      </w:r>
      <w:r w:rsidRPr="007A0C3E">
        <w:rPr>
          <w:rFonts w:ascii="Arial" w:hAnsi="Arial" w:cs="Arial"/>
          <w:sz w:val="18"/>
          <w:szCs w:val="18"/>
        </w:rPr>
        <w:t xml:space="preserve"> výkonů včetně </w:t>
      </w:r>
      <w:r w:rsidR="00C31629">
        <w:rPr>
          <w:rFonts w:ascii="Arial" w:hAnsi="Arial" w:cs="Arial"/>
          <w:sz w:val="18"/>
          <w:szCs w:val="18"/>
        </w:rPr>
        <w:t>ZÚM a ZÚLP</w:t>
      </w:r>
      <w:r w:rsidRPr="007A0C3E">
        <w:rPr>
          <w:rFonts w:ascii="Arial" w:hAnsi="Arial" w:cs="Arial"/>
          <w:sz w:val="18"/>
          <w:szCs w:val="18"/>
        </w:rPr>
        <w:t xml:space="preserve"> na jednoho unikátního pojištěnce </w:t>
      </w:r>
      <w:r w:rsidR="00877B93" w:rsidRPr="007A0C3E">
        <w:rPr>
          <w:rFonts w:ascii="Arial" w:hAnsi="Arial" w:cs="Arial"/>
          <w:sz w:val="18"/>
          <w:szCs w:val="18"/>
        </w:rPr>
        <w:t>Z</w:t>
      </w:r>
      <w:r w:rsidRPr="007A0C3E">
        <w:rPr>
          <w:rFonts w:ascii="Arial" w:hAnsi="Arial" w:cs="Arial"/>
          <w:sz w:val="18"/>
          <w:szCs w:val="18"/>
        </w:rPr>
        <w:t xml:space="preserve">dravotní pojišťovny ošetřeného v dané odbornosti </w:t>
      </w:r>
      <w:r w:rsidR="00877B93" w:rsidRPr="007A0C3E">
        <w:rPr>
          <w:rFonts w:ascii="Arial" w:hAnsi="Arial" w:cs="Arial"/>
          <w:sz w:val="18"/>
          <w:szCs w:val="18"/>
        </w:rPr>
        <w:t>P</w:t>
      </w:r>
      <w:r w:rsidRPr="007A0C3E">
        <w:rPr>
          <w:rFonts w:ascii="Arial" w:hAnsi="Arial" w:cs="Arial"/>
          <w:sz w:val="18"/>
          <w:szCs w:val="18"/>
        </w:rPr>
        <w:t>oskytovatelem v referenčním období</w:t>
      </w:r>
      <w:r w:rsidR="00877B93" w:rsidRPr="007A0C3E">
        <w:rPr>
          <w:rFonts w:ascii="Arial" w:hAnsi="Arial" w:cs="Arial"/>
          <w:sz w:val="18"/>
          <w:szCs w:val="18"/>
          <w:lang w:val="en-US"/>
        </w:rPr>
        <w:t>.</w:t>
      </w:r>
      <w:r w:rsidR="00CA15B2" w:rsidRPr="007A0C3E">
        <w:rPr>
          <w:rFonts w:ascii="Arial" w:hAnsi="Arial" w:cs="Arial"/>
          <w:sz w:val="18"/>
          <w:szCs w:val="18"/>
          <w:lang w:val="en-US"/>
        </w:rPr>
        <w:t xml:space="preserve"> </w:t>
      </w:r>
      <w:r w:rsidR="00877B93" w:rsidRPr="007A0C3E">
        <w:rPr>
          <w:rFonts w:ascii="Arial" w:hAnsi="Arial" w:cs="Arial"/>
          <w:sz w:val="18"/>
          <w:szCs w:val="18"/>
          <w:lang w:val="en-US"/>
        </w:rPr>
        <w:t>D</w:t>
      </w:r>
      <w:r w:rsidRPr="007A0C3E">
        <w:rPr>
          <w:rFonts w:ascii="Arial" w:hAnsi="Arial" w:cs="Arial"/>
          <w:sz w:val="18"/>
          <w:szCs w:val="18"/>
          <w:lang w:val="en-US"/>
        </w:rPr>
        <w:t xml:space="preserve">o </w:t>
      </w:r>
      <w:r w:rsidRPr="007A0C3E">
        <w:rPr>
          <w:rFonts w:ascii="Arial" w:hAnsi="Arial" w:cs="Arial"/>
          <w:bCs/>
          <w:sz w:val="18"/>
          <w:szCs w:val="18"/>
        </w:rPr>
        <w:t xml:space="preserve">počtu unikátních pojištěnců </w:t>
      </w:r>
      <w:r w:rsidR="00877B93" w:rsidRPr="007A0C3E">
        <w:rPr>
          <w:rFonts w:ascii="Arial" w:hAnsi="Arial" w:cs="Arial"/>
          <w:bCs/>
          <w:sz w:val="18"/>
          <w:szCs w:val="18"/>
        </w:rPr>
        <w:t xml:space="preserve">Zdravotní pojišťovny </w:t>
      </w:r>
      <w:r w:rsidRPr="007A0C3E">
        <w:rPr>
          <w:rFonts w:ascii="Arial" w:hAnsi="Arial" w:cs="Arial"/>
          <w:bCs/>
          <w:sz w:val="18"/>
          <w:szCs w:val="18"/>
        </w:rPr>
        <w:t>se nezahrnou unikátní pojištěnci,</w:t>
      </w:r>
      <w:r w:rsidR="00877B93" w:rsidRPr="007A0C3E">
        <w:rPr>
          <w:rFonts w:ascii="Arial" w:hAnsi="Arial" w:cs="Arial"/>
          <w:bCs/>
          <w:sz w:val="18"/>
          <w:szCs w:val="18"/>
        </w:rPr>
        <w:t xml:space="preserve"> </w:t>
      </w:r>
      <w:r w:rsidRPr="007A0C3E">
        <w:rPr>
          <w:rFonts w:ascii="Arial" w:hAnsi="Arial" w:cs="Arial"/>
          <w:bCs/>
          <w:sz w:val="18"/>
          <w:szCs w:val="18"/>
        </w:rPr>
        <w:t xml:space="preserve">na které byl vykázán pouze výkon č. 09513 podle </w:t>
      </w:r>
      <w:r w:rsidR="00877B93" w:rsidRPr="007A0C3E">
        <w:rPr>
          <w:rFonts w:ascii="Arial" w:hAnsi="Arial" w:cs="Arial"/>
          <w:bCs/>
          <w:sz w:val="18"/>
          <w:szCs w:val="18"/>
        </w:rPr>
        <w:t>S</w:t>
      </w:r>
      <w:r w:rsidRPr="007A0C3E">
        <w:rPr>
          <w:rFonts w:ascii="Arial" w:hAnsi="Arial" w:cs="Arial"/>
          <w:bCs/>
          <w:sz w:val="18"/>
          <w:szCs w:val="18"/>
        </w:rPr>
        <w:t xml:space="preserve">eznamu </w:t>
      </w:r>
      <w:r w:rsidR="00877B93" w:rsidRPr="007A0C3E">
        <w:rPr>
          <w:rFonts w:ascii="Arial" w:hAnsi="Arial" w:cs="Arial"/>
          <w:bCs/>
          <w:sz w:val="18"/>
          <w:szCs w:val="18"/>
        </w:rPr>
        <w:t xml:space="preserve">zdravotních </w:t>
      </w:r>
      <w:r w:rsidRPr="007A0C3E">
        <w:rPr>
          <w:rFonts w:ascii="Arial" w:hAnsi="Arial" w:cs="Arial"/>
          <w:bCs/>
          <w:sz w:val="18"/>
          <w:szCs w:val="18"/>
        </w:rPr>
        <w:t>výkonů</w:t>
      </w:r>
      <w:r w:rsidRPr="007A0C3E">
        <w:rPr>
          <w:rFonts w:ascii="Arial" w:hAnsi="Arial" w:cs="Arial"/>
          <w:sz w:val="18"/>
          <w:szCs w:val="18"/>
        </w:rPr>
        <w:t>.</w:t>
      </w:r>
    </w:p>
    <w:p w14:paraId="0717B723" w14:textId="4A03142C" w:rsidR="002F0FA3" w:rsidRPr="007A0C3E" w:rsidRDefault="002F0FA3" w:rsidP="002F0FA3">
      <w:pPr>
        <w:pStyle w:val="Odstavecseseznamem"/>
        <w:tabs>
          <w:tab w:val="left" w:pos="1418"/>
        </w:tabs>
        <w:ind w:left="1418" w:hanging="992"/>
        <w:jc w:val="both"/>
        <w:rPr>
          <w:rFonts w:ascii="Arial" w:hAnsi="Arial" w:cs="Arial"/>
          <w:sz w:val="18"/>
          <w:szCs w:val="18"/>
          <w:highlight w:val="cyan"/>
        </w:rPr>
      </w:pPr>
      <w:r w:rsidRPr="007A0C3E">
        <w:rPr>
          <w:rFonts w:ascii="Arial" w:hAnsi="Arial" w:cs="Arial"/>
          <w:sz w:val="18"/>
          <w:szCs w:val="18"/>
          <w:highlight w:val="cyan"/>
        </w:rPr>
        <w:t>If var = 2 then</w:t>
      </w:r>
    </w:p>
    <w:p w14:paraId="6E6508F0" w14:textId="5497954E" w:rsidR="002F0FA3" w:rsidRPr="007A0C3E" w:rsidRDefault="002F0FA3" w:rsidP="002F0FA3">
      <w:pPr>
        <w:pStyle w:val="Odstavecseseznamem"/>
        <w:tabs>
          <w:tab w:val="left" w:pos="1418"/>
        </w:tabs>
        <w:ind w:left="1418" w:hanging="992"/>
        <w:jc w:val="both"/>
        <w:rPr>
          <w:rFonts w:ascii="Arial" w:hAnsi="Arial" w:cs="Arial"/>
          <w:sz w:val="18"/>
          <w:szCs w:val="18"/>
        </w:rPr>
      </w:pPr>
      <w:r w:rsidRPr="007A0C3E">
        <w:rPr>
          <w:rFonts w:ascii="Arial" w:hAnsi="Arial" w:cs="Arial"/>
          <w:b/>
          <w:bCs/>
          <w:iCs/>
          <w:sz w:val="18"/>
          <w:szCs w:val="18"/>
        </w:rPr>
        <w:t>PUROo</w:t>
      </w:r>
      <w:r w:rsidRPr="007A0C3E">
        <w:rPr>
          <w:rFonts w:ascii="Arial" w:hAnsi="Arial" w:cs="Arial"/>
          <w:b/>
          <w:bCs/>
          <w:iCs/>
          <w:sz w:val="18"/>
          <w:szCs w:val="18"/>
        </w:rPr>
        <w:tab/>
      </w:r>
      <w:r w:rsidRPr="007A0C3E">
        <w:rPr>
          <w:rFonts w:ascii="Arial" w:hAnsi="Arial" w:cs="Arial"/>
          <w:bCs/>
          <w:iCs/>
          <w:sz w:val="18"/>
          <w:szCs w:val="18"/>
        </w:rPr>
        <w:t xml:space="preserve">je </w:t>
      </w:r>
      <w:r w:rsidRPr="007A0C3E">
        <w:rPr>
          <w:rFonts w:ascii="Arial" w:hAnsi="Arial" w:cs="Arial"/>
          <w:sz w:val="18"/>
          <w:szCs w:val="18"/>
        </w:rPr>
        <w:t xml:space="preserve">průměrná úhrada za výkony podle Seznamu zdravotních výkonů včetně </w:t>
      </w:r>
      <w:r w:rsidR="00C31629">
        <w:rPr>
          <w:rFonts w:ascii="Arial" w:hAnsi="Arial" w:cs="Arial"/>
          <w:sz w:val="18"/>
          <w:szCs w:val="18"/>
        </w:rPr>
        <w:t>ZÚM a ZÚLP</w:t>
      </w:r>
      <w:r w:rsidR="00C31629" w:rsidRPr="007A0C3E">
        <w:rPr>
          <w:rFonts w:ascii="Arial" w:hAnsi="Arial" w:cs="Arial"/>
          <w:sz w:val="18"/>
          <w:szCs w:val="18"/>
        </w:rPr>
        <w:t xml:space="preserve"> </w:t>
      </w:r>
      <w:r w:rsidRPr="007A0C3E">
        <w:rPr>
          <w:rFonts w:ascii="Arial" w:hAnsi="Arial" w:cs="Arial"/>
          <w:sz w:val="18"/>
          <w:szCs w:val="18"/>
        </w:rPr>
        <w:t>na jednoho unikátního pojištěnce poskytovaná Zdravotní pojišťovnou srovnatelným poskytovatelům v dané odbornosti v referenčním období</w:t>
      </w:r>
      <w:r w:rsidRPr="007A0C3E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36021F12" w14:textId="647B67D2" w:rsidR="00C157C3" w:rsidRDefault="006716F7" w:rsidP="008415A4">
      <w:pPr>
        <w:pStyle w:val="Odstavecseseznamem"/>
        <w:tabs>
          <w:tab w:val="left" w:pos="1418"/>
        </w:tabs>
        <w:ind w:left="1418" w:hanging="992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KN</w:t>
      </w:r>
      <w:r w:rsidR="0095141F" w:rsidRPr="008227B9">
        <w:rPr>
          <w:rFonts w:ascii="Arial" w:hAnsi="Arial" w:cs="Arial"/>
          <w:sz w:val="18"/>
          <w:szCs w:val="18"/>
        </w:rPr>
        <w:tab/>
      </w:r>
      <w:r w:rsidR="0095141F" w:rsidRPr="00046599">
        <w:rPr>
          <w:rFonts w:ascii="Arial" w:hAnsi="Arial" w:cs="Arial"/>
          <w:bCs/>
          <w:iCs/>
          <w:sz w:val="18"/>
          <w:szCs w:val="18"/>
        </w:rPr>
        <w:t xml:space="preserve">je </w:t>
      </w:r>
      <w:r>
        <w:rPr>
          <w:rFonts w:ascii="Arial" w:hAnsi="Arial" w:cs="Arial"/>
          <w:bCs/>
          <w:iCs/>
          <w:sz w:val="18"/>
          <w:szCs w:val="18"/>
        </w:rPr>
        <w:t>koeficient navýšení, který je součtem těchto koeficientů:</w:t>
      </w:r>
    </w:p>
    <w:p w14:paraId="2C7E4DF1" w14:textId="0294554C" w:rsidR="006716F7" w:rsidRDefault="006716F7" w:rsidP="00D65DDD">
      <w:pPr>
        <w:pStyle w:val="Odstavecseseznamem"/>
        <w:numPr>
          <w:ilvl w:val="0"/>
          <w:numId w:val="23"/>
        </w:numPr>
        <w:tabs>
          <w:tab w:val="left" w:pos="1418"/>
        </w:tabs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0,02 - </w:t>
      </w:r>
      <w:r w:rsidR="000C6650">
        <w:rPr>
          <w:rFonts w:ascii="Arial" w:hAnsi="Arial" w:cs="Arial"/>
          <w:bCs/>
          <w:iCs/>
          <w:sz w:val="18"/>
          <w:szCs w:val="18"/>
        </w:rPr>
        <w:t>při splnění podmínky</w:t>
      </w:r>
      <w:r w:rsidR="00E4235B">
        <w:rPr>
          <w:rFonts w:ascii="Arial" w:hAnsi="Arial" w:cs="Arial"/>
          <w:bCs/>
          <w:iCs/>
          <w:sz w:val="18"/>
          <w:szCs w:val="18"/>
        </w:rPr>
        <w:t xml:space="preserve"> podle části II.</w:t>
      </w:r>
      <w:r w:rsidR="000C6650">
        <w:rPr>
          <w:rFonts w:ascii="Arial" w:hAnsi="Arial" w:cs="Arial"/>
          <w:bCs/>
          <w:iCs/>
          <w:sz w:val="18"/>
          <w:szCs w:val="18"/>
        </w:rPr>
        <w:t xml:space="preserve"> odst.</w:t>
      </w:r>
      <w:r w:rsidR="001E2636">
        <w:rPr>
          <w:rFonts w:ascii="Arial" w:hAnsi="Arial" w:cs="Arial"/>
          <w:bCs/>
          <w:iCs/>
          <w:sz w:val="18"/>
          <w:szCs w:val="18"/>
        </w:rPr>
        <w:t xml:space="preserve"> </w:t>
      </w:r>
      <w:r w:rsidR="000C6650">
        <w:rPr>
          <w:rFonts w:ascii="Arial" w:hAnsi="Arial" w:cs="Arial"/>
          <w:bCs/>
          <w:iCs/>
          <w:sz w:val="18"/>
          <w:szCs w:val="18"/>
        </w:rPr>
        <w:t>2</w:t>
      </w:r>
      <w:r w:rsidR="00E4235B">
        <w:rPr>
          <w:rFonts w:ascii="Arial" w:hAnsi="Arial" w:cs="Arial"/>
          <w:bCs/>
          <w:iCs/>
          <w:sz w:val="18"/>
          <w:szCs w:val="18"/>
        </w:rPr>
        <w:t xml:space="preserve"> písm.</w:t>
      </w:r>
      <w:r w:rsidR="001E2636">
        <w:rPr>
          <w:rFonts w:ascii="Arial" w:hAnsi="Arial" w:cs="Arial"/>
          <w:bCs/>
          <w:iCs/>
          <w:sz w:val="18"/>
          <w:szCs w:val="18"/>
        </w:rPr>
        <w:t xml:space="preserve"> </w:t>
      </w:r>
      <w:r w:rsidR="000C6650">
        <w:rPr>
          <w:rFonts w:ascii="Arial" w:hAnsi="Arial" w:cs="Arial"/>
          <w:bCs/>
          <w:iCs/>
          <w:sz w:val="18"/>
          <w:szCs w:val="18"/>
        </w:rPr>
        <w:t>a</w:t>
      </w:r>
      <w:r w:rsidR="001E2636">
        <w:rPr>
          <w:rFonts w:ascii="Arial" w:hAnsi="Arial" w:cs="Arial"/>
          <w:bCs/>
          <w:iCs/>
          <w:sz w:val="18"/>
          <w:szCs w:val="18"/>
        </w:rPr>
        <w:t>)</w:t>
      </w:r>
      <w:r w:rsidR="00757027">
        <w:rPr>
          <w:rFonts w:ascii="Arial" w:hAnsi="Arial" w:cs="Arial"/>
          <w:bCs/>
          <w:iCs/>
          <w:sz w:val="18"/>
          <w:szCs w:val="18"/>
        </w:rPr>
        <w:t xml:space="preserve"> tohoto Dodatku;</w:t>
      </w:r>
    </w:p>
    <w:p w14:paraId="21A7A8DC" w14:textId="294F3A76" w:rsidR="000C6650" w:rsidRDefault="006716F7" w:rsidP="00E4235B">
      <w:pPr>
        <w:pStyle w:val="Odstavecseseznamem"/>
        <w:numPr>
          <w:ilvl w:val="0"/>
          <w:numId w:val="23"/>
        </w:numPr>
        <w:tabs>
          <w:tab w:val="left" w:pos="1418"/>
        </w:tabs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0,02 - </w:t>
      </w:r>
      <w:r w:rsidR="000C6650">
        <w:rPr>
          <w:rFonts w:ascii="Arial" w:hAnsi="Arial" w:cs="Arial"/>
          <w:bCs/>
          <w:iCs/>
          <w:sz w:val="18"/>
          <w:szCs w:val="18"/>
        </w:rPr>
        <w:t xml:space="preserve">při splnění podmínky </w:t>
      </w:r>
      <w:r w:rsidR="00E4235B">
        <w:rPr>
          <w:rFonts w:ascii="Arial" w:hAnsi="Arial" w:cs="Arial"/>
          <w:bCs/>
          <w:iCs/>
          <w:sz w:val="18"/>
          <w:szCs w:val="18"/>
        </w:rPr>
        <w:t>podle části II. odst.</w:t>
      </w:r>
      <w:r w:rsidR="001E2636">
        <w:rPr>
          <w:rFonts w:ascii="Arial" w:hAnsi="Arial" w:cs="Arial"/>
          <w:bCs/>
          <w:iCs/>
          <w:sz w:val="18"/>
          <w:szCs w:val="18"/>
        </w:rPr>
        <w:t xml:space="preserve"> </w:t>
      </w:r>
      <w:r w:rsidR="00E4235B">
        <w:rPr>
          <w:rFonts w:ascii="Arial" w:hAnsi="Arial" w:cs="Arial"/>
          <w:bCs/>
          <w:iCs/>
          <w:sz w:val="18"/>
          <w:szCs w:val="18"/>
        </w:rPr>
        <w:t>2 písm.</w:t>
      </w:r>
      <w:r w:rsidR="001E2636">
        <w:rPr>
          <w:rFonts w:ascii="Arial" w:hAnsi="Arial" w:cs="Arial"/>
          <w:bCs/>
          <w:iCs/>
          <w:sz w:val="18"/>
          <w:szCs w:val="18"/>
        </w:rPr>
        <w:t xml:space="preserve"> </w:t>
      </w:r>
      <w:r w:rsidR="00E4235B">
        <w:rPr>
          <w:rFonts w:ascii="Arial" w:hAnsi="Arial" w:cs="Arial"/>
          <w:bCs/>
          <w:iCs/>
          <w:sz w:val="18"/>
          <w:szCs w:val="18"/>
        </w:rPr>
        <w:t>b</w:t>
      </w:r>
      <w:r w:rsidR="001E2636">
        <w:rPr>
          <w:rFonts w:ascii="Arial" w:hAnsi="Arial" w:cs="Arial"/>
          <w:bCs/>
          <w:iCs/>
          <w:sz w:val="18"/>
          <w:szCs w:val="18"/>
        </w:rPr>
        <w:t>)</w:t>
      </w:r>
      <w:r w:rsidR="00757027">
        <w:rPr>
          <w:rFonts w:ascii="Arial" w:hAnsi="Arial" w:cs="Arial"/>
          <w:bCs/>
          <w:iCs/>
          <w:sz w:val="18"/>
          <w:szCs w:val="18"/>
        </w:rPr>
        <w:t xml:space="preserve"> tohoto Dodatku;</w:t>
      </w:r>
    </w:p>
    <w:p w14:paraId="4AB6D0AA" w14:textId="60F1C378" w:rsidR="000C6650" w:rsidRDefault="003F3D17" w:rsidP="000C6650">
      <w:pPr>
        <w:pStyle w:val="Odstavecseseznamem"/>
        <w:numPr>
          <w:ilvl w:val="0"/>
          <w:numId w:val="23"/>
        </w:numPr>
        <w:tabs>
          <w:tab w:val="left" w:pos="1418"/>
        </w:tabs>
        <w:jc w:val="both"/>
        <w:rPr>
          <w:rFonts w:ascii="Arial" w:hAnsi="Arial" w:cs="Arial"/>
          <w:bCs/>
          <w:iCs/>
          <w:sz w:val="18"/>
          <w:szCs w:val="18"/>
        </w:rPr>
      </w:pPr>
      <w:r w:rsidRPr="000C6650">
        <w:rPr>
          <w:rFonts w:ascii="Arial" w:hAnsi="Arial" w:cs="Arial"/>
          <w:bCs/>
          <w:iCs/>
          <w:sz w:val="18"/>
          <w:szCs w:val="18"/>
        </w:rPr>
        <w:t>0,0</w:t>
      </w:r>
      <w:r w:rsidR="00A12C78">
        <w:rPr>
          <w:rFonts w:ascii="Arial" w:hAnsi="Arial" w:cs="Arial"/>
          <w:bCs/>
          <w:iCs/>
          <w:sz w:val="18"/>
          <w:szCs w:val="18"/>
        </w:rPr>
        <w:t>2</w:t>
      </w:r>
      <w:r w:rsidRPr="000C6650">
        <w:rPr>
          <w:rFonts w:ascii="Arial" w:hAnsi="Arial" w:cs="Arial"/>
          <w:bCs/>
          <w:iCs/>
          <w:sz w:val="18"/>
          <w:szCs w:val="18"/>
        </w:rPr>
        <w:t xml:space="preserve"> - </w:t>
      </w:r>
      <w:r w:rsidR="000C6650">
        <w:rPr>
          <w:rFonts w:ascii="Arial" w:hAnsi="Arial" w:cs="Arial"/>
          <w:bCs/>
          <w:iCs/>
          <w:sz w:val="18"/>
          <w:szCs w:val="18"/>
        </w:rPr>
        <w:t xml:space="preserve">při splnění podmínky </w:t>
      </w:r>
      <w:r w:rsidR="00E4235B">
        <w:rPr>
          <w:rFonts w:ascii="Arial" w:hAnsi="Arial" w:cs="Arial"/>
          <w:bCs/>
          <w:iCs/>
          <w:sz w:val="18"/>
          <w:szCs w:val="18"/>
        </w:rPr>
        <w:t>podle části II. odst.</w:t>
      </w:r>
      <w:r w:rsidR="001E2636">
        <w:rPr>
          <w:rFonts w:ascii="Arial" w:hAnsi="Arial" w:cs="Arial"/>
          <w:bCs/>
          <w:iCs/>
          <w:sz w:val="18"/>
          <w:szCs w:val="18"/>
        </w:rPr>
        <w:t xml:space="preserve"> </w:t>
      </w:r>
      <w:r w:rsidR="00E4235B">
        <w:rPr>
          <w:rFonts w:ascii="Arial" w:hAnsi="Arial" w:cs="Arial"/>
          <w:bCs/>
          <w:iCs/>
          <w:sz w:val="18"/>
          <w:szCs w:val="18"/>
        </w:rPr>
        <w:t>2 písm.</w:t>
      </w:r>
      <w:r w:rsidR="001E2636">
        <w:rPr>
          <w:rFonts w:ascii="Arial" w:hAnsi="Arial" w:cs="Arial"/>
          <w:bCs/>
          <w:iCs/>
          <w:sz w:val="18"/>
          <w:szCs w:val="18"/>
        </w:rPr>
        <w:t xml:space="preserve"> c) </w:t>
      </w:r>
      <w:r w:rsidR="00757027">
        <w:rPr>
          <w:rFonts w:ascii="Arial" w:hAnsi="Arial" w:cs="Arial"/>
          <w:bCs/>
          <w:iCs/>
          <w:sz w:val="18"/>
          <w:szCs w:val="18"/>
        </w:rPr>
        <w:t>tohoto Dodatku.</w:t>
      </w:r>
    </w:p>
    <w:p w14:paraId="52B5F8FA" w14:textId="655FFA2B" w:rsidR="0070770C" w:rsidRDefault="0070770C" w:rsidP="0070770C">
      <w:pPr>
        <w:pStyle w:val="Textodstavce"/>
        <w:numPr>
          <w:ilvl w:val="0"/>
          <w:numId w:val="0"/>
        </w:numPr>
        <w:tabs>
          <w:tab w:val="clear" w:pos="851"/>
        </w:tabs>
        <w:spacing w:before="0" w:after="60"/>
        <w:ind w:left="426"/>
        <w:rPr>
          <w:rFonts w:ascii="Arial" w:hAnsi="Arial" w:cs="Arial"/>
          <w:sz w:val="18"/>
          <w:szCs w:val="18"/>
        </w:rPr>
      </w:pPr>
      <w:r w:rsidRPr="00EE0F5E">
        <w:rPr>
          <w:rFonts w:ascii="Arial" w:hAnsi="Arial" w:cs="Arial"/>
          <w:sz w:val="18"/>
          <w:szCs w:val="18"/>
        </w:rPr>
        <w:t>Výkony 15101, 15103, 15105, 15107, 15440, 15445 a 15950</w:t>
      </w:r>
      <w:r w:rsidRPr="00EE0F5E">
        <w:rPr>
          <w:rFonts w:ascii="Arial" w:hAnsi="Arial" w:cs="Arial"/>
          <w:b/>
          <w:sz w:val="18"/>
          <w:szCs w:val="18"/>
        </w:rPr>
        <w:t xml:space="preserve"> v odbornosti 105 – gastroenterologie, vykázané v souvislosti se screeningem karcinomu kolorekta, </w:t>
      </w:r>
      <w:r w:rsidRPr="00EE0F5E">
        <w:rPr>
          <w:rFonts w:ascii="Arial" w:hAnsi="Arial" w:cs="Arial"/>
          <w:sz w:val="18"/>
          <w:szCs w:val="18"/>
        </w:rPr>
        <w:t xml:space="preserve">budou hrazeny </w:t>
      </w:r>
      <w:r w:rsidRPr="00EE0F5E">
        <w:rPr>
          <w:rFonts w:ascii="Arial" w:hAnsi="Arial" w:cs="Arial"/>
          <w:b/>
          <w:sz w:val="18"/>
          <w:szCs w:val="18"/>
        </w:rPr>
        <w:t>v</w:t>
      </w:r>
      <w:r w:rsidRPr="00EE0F5E">
        <w:rPr>
          <w:rFonts w:ascii="Arial" w:hAnsi="Arial" w:cs="Arial"/>
          <w:sz w:val="18"/>
          <w:szCs w:val="18"/>
        </w:rPr>
        <w:t xml:space="preserve"> </w:t>
      </w:r>
      <w:r w:rsidRPr="00EE0F5E">
        <w:rPr>
          <w:rFonts w:ascii="Arial" w:hAnsi="Arial" w:cs="Arial"/>
          <w:b/>
          <w:sz w:val="18"/>
          <w:szCs w:val="18"/>
        </w:rPr>
        <w:t>hodnotě bodu</w:t>
      </w:r>
      <w:r w:rsidRPr="00EE0F5E">
        <w:rPr>
          <w:rFonts w:ascii="Arial" w:hAnsi="Arial" w:cs="Arial"/>
          <w:sz w:val="18"/>
          <w:szCs w:val="18"/>
        </w:rPr>
        <w:t xml:space="preserve"> </w:t>
      </w:r>
      <w:r w:rsidR="00355646">
        <w:rPr>
          <w:rFonts w:ascii="Arial" w:hAnsi="Arial" w:cs="Arial"/>
          <w:b/>
          <w:sz w:val="18"/>
          <w:szCs w:val="18"/>
        </w:rPr>
        <w:t>1,09</w:t>
      </w:r>
      <w:r w:rsidRPr="00EE0F5E">
        <w:rPr>
          <w:rFonts w:ascii="Arial" w:hAnsi="Arial" w:cs="Arial"/>
          <w:b/>
          <w:sz w:val="18"/>
          <w:szCs w:val="18"/>
        </w:rPr>
        <w:t xml:space="preserve"> Kč/bod</w:t>
      </w:r>
      <w:r w:rsidRPr="00EE0F5E">
        <w:rPr>
          <w:rFonts w:ascii="Arial" w:hAnsi="Arial" w:cs="Arial"/>
          <w:sz w:val="18"/>
          <w:szCs w:val="18"/>
        </w:rPr>
        <w:t xml:space="preserve"> </w:t>
      </w:r>
      <w:r w:rsidRPr="00EE0F5E">
        <w:rPr>
          <w:rFonts w:ascii="Arial" w:hAnsi="Arial" w:cs="Arial"/>
          <w:b/>
          <w:sz w:val="18"/>
          <w:szCs w:val="18"/>
        </w:rPr>
        <w:t>bez dalších omezení</w:t>
      </w:r>
      <w:r w:rsidRPr="00EE0F5E">
        <w:rPr>
          <w:rFonts w:ascii="Arial" w:hAnsi="Arial" w:cs="Arial"/>
          <w:sz w:val="18"/>
          <w:szCs w:val="18"/>
        </w:rPr>
        <w:t xml:space="preserve"> a budou hrazeny na základě samostatného dodatku. Výkony 73028 a 73029 </w:t>
      </w:r>
      <w:r w:rsidRPr="00EE0F5E">
        <w:rPr>
          <w:rFonts w:ascii="Arial" w:hAnsi="Arial" w:cs="Arial"/>
          <w:b/>
          <w:sz w:val="18"/>
          <w:szCs w:val="18"/>
        </w:rPr>
        <w:t>v odbornosti 701 – otorinolaryngologie nebo 702 – foniatrie</w:t>
      </w:r>
      <w:r w:rsidRPr="00EE0F5E">
        <w:rPr>
          <w:rFonts w:ascii="Arial" w:hAnsi="Arial" w:cs="Arial"/>
          <w:sz w:val="18"/>
          <w:szCs w:val="18"/>
        </w:rPr>
        <w:t xml:space="preserve"> budou hrazeny </w:t>
      </w:r>
      <w:r w:rsidRPr="00EE0F5E">
        <w:rPr>
          <w:rFonts w:ascii="Arial" w:hAnsi="Arial" w:cs="Arial"/>
          <w:b/>
          <w:sz w:val="18"/>
          <w:szCs w:val="18"/>
        </w:rPr>
        <w:t>v</w:t>
      </w:r>
      <w:r w:rsidRPr="00EE0F5E">
        <w:rPr>
          <w:rFonts w:ascii="Arial" w:hAnsi="Arial" w:cs="Arial"/>
          <w:sz w:val="18"/>
          <w:szCs w:val="18"/>
        </w:rPr>
        <w:t xml:space="preserve"> </w:t>
      </w:r>
      <w:r w:rsidRPr="00EE0F5E">
        <w:rPr>
          <w:rFonts w:ascii="Arial" w:hAnsi="Arial" w:cs="Arial"/>
          <w:b/>
          <w:sz w:val="18"/>
          <w:szCs w:val="18"/>
        </w:rPr>
        <w:t xml:space="preserve">hodnotě bodu </w:t>
      </w:r>
      <w:r w:rsidR="00355646">
        <w:rPr>
          <w:rFonts w:ascii="Arial" w:hAnsi="Arial" w:cs="Arial"/>
          <w:b/>
          <w:sz w:val="18"/>
          <w:szCs w:val="18"/>
        </w:rPr>
        <w:t>1,02</w:t>
      </w:r>
      <w:r w:rsidRPr="00EE0F5E">
        <w:rPr>
          <w:rFonts w:ascii="Arial" w:hAnsi="Arial" w:cs="Arial"/>
          <w:b/>
          <w:sz w:val="18"/>
          <w:szCs w:val="18"/>
        </w:rPr>
        <w:t> Kč/bod bez dalších omezení</w:t>
      </w:r>
      <w:r w:rsidRPr="00EE0F5E">
        <w:rPr>
          <w:rFonts w:ascii="Arial" w:hAnsi="Arial" w:cs="Arial"/>
          <w:sz w:val="18"/>
          <w:szCs w:val="18"/>
        </w:rPr>
        <w:t xml:space="preserve"> a budou hrazeny na základě samostatného dodatku.</w:t>
      </w:r>
    </w:p>
    <w:p w14:paraId="35B63FED" w14:textId="77777777" w:rsidR="008D72F8" w:rsidRPr="00881DFC" w:rsidRDefault="008D72F8" w:rsidP="008D72F8">
      <w:pPr>
        <w:pStyle w:val="Zkladntext3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81DFC">
        <w:rPr>
          <w:rFonts w:ascii="Arial" w:hAnsi="Arial" w:cs="Arial"/>
          <w:sz w:val="18"/>
          <w:szCs w:val="18"/>
          <w:highlight w:val="cyan"/>
        </w:rPr>
        <w:t>If strop = 1 then</w:t>
      </w:r>
    </w:p>
    <w:p w14:paraId="2BBF394C" w14:textId="77777777" w:rsidR="008D72F8" w:rsidRPr="00881DFC" w:rsidRDefault="008D72F8" w:rsidP="008D72F8">
      <w:pPr>
        <w:pStyle w:val="Zkladntext3"/>
        <w:spacing w:after="0"/>
        <w:ind w:left="360"/>
        <w:jc w:val="both"/>
        <w:rPr>
          <w:rFonts w:ascii="Arial" w:hAnsi="Arial"/>
          <w:sz w:val="18"/>
          <w:szCs w:val="18"/>
        </w:rPr>
      </w:pPr>
      <w:r w:rsidRPr="00881DFC">
        <w:rPr>
          <w:rFonts w:ascii="Arial" w:hAnsi="Arial" w:cs="Arial"/>
          <w:sz w:val="18"/>
          <w:szCs w:val="18"/>
        </w:rPr>
        <w:t xml:space="preserve">Smluvní strany se dále dohodly, že celková úhrada Zdravotní pojišťovny </w:t>
      </w:r>
      <w:r w:rsidRPr="00881DFC">
        <w:rPr>
          <w:rFonts w:ascii="Arial" w:hAnsi="Arial"/>
          <w:sz w:val="18"/>
          <w:szCs w:val="18"/>
        </w:rPr>
        <w:t>Poskytovateli</w:t>
      </w:r>
      <w:r w:rsidRPr="00881DFC">
        <w:rPr>
          <w:rFonts w:ascii="Arial" w:hAnsi="Arial" w:cs="Arial"/>
          <w:sz w:val="18"/>
          <w:szCs w:val="18"/>
        </w:rPr>
        <w:t xml:space="preserve"> vypočtená na základě </w:t>
      </w:r>
      <w:r>
        <w:rPr>
          <w:rFonts w:ascii="Arial" w:hAnsi="Arial" w:cs="Arial"/>
          <w:sz w:val="18"/>
          <w:szCs w:val="18"/>
        </w:rPr>
        <w:t>odstavce 1 tohoto článku</w:t>
      </w:r>
      <w:r w:rsidRPr="00881DFC">
        <w:rPr>
          <w:rFonts w:ascii="Arial" w:hAnsi="Arial" w:cs="Arial"/>
          <w:sz w:val="18"/>
          <w:szCs w:val="18"/>
        </w:rPr>
        <w:t xml:space="preserve"> nepřevýší </w:t>
      </w:r>
      <w:r w:rsidRPr="00B15909">
        <w:rPr>
          <w:rFonts w:ascii="Arial" w:hAnsi="Arial" w:cs="Arial"/>
          <w:b/>
          <w:sz w:val="18"/>
          <w:szCs w:val="18"/>
          <w:highlight w:val="yellow"/>
        </w:rPr>
        <w:t>procento</w:t>
      </w:r>
      <w:r>
        <w:rPr>
          <w:rFonts w:ascii="Arial" w:hAnsi="Arial" w:cs="Arial"/>
          <w:b/>
          <w:sz w:val="18"/>
          <w:szCs w:val="18"/>
          <w:highlight w:val="yellow"/>
        </w:rPr>
        <w:t>strop</w:t>
      </w:r>
      <w:r w:rsidRPr="00B15909">
        <w:rPr>
          <w:rFonts w:ascii="Arial" w:hAnsi="Arial" w:cs="Arial"/>
          <w:b/>
          <w:sz w:val="18"/>
          <w:szCs w:val="18"/>
          <w:highlight w:val="yellow"/>
        </w:rPr>
        <w:t xml:space="preserve"> char(3)</w:t>
      </w:r>
      <w:r w:rsidRPr="00881DFC">
        <w:rPr>
          <w:rFonts w:ascii="Arial" w:hAnsi="Arial" w:cs="Arial"/>
          <w:b/>
          <w:sz w:val="18"/>
          <w:szCs w:val="18"/>
        </w:rPr>
        <w:t xml:space="preserve">% </w:t>
      </w:r>
      <w:r w:rsidRPr="00881DFC">
        <w:rPr>
          <w:rFonts w:ascii="Arial" w:hAnsi="Arial" w:cs="Arial"/>
          <w:sz w:val="18"/>
          <w:szCs w:val="18"/>
        </w:rPr>
        <w:t xml:space="preserve">celkové úhrady </w:t>
      </w:r>
      <w:r w:rsidRPr="00881DFC">
        <w:rPr>
          <w:rFonts w:ascii="Arial" w:hAnsi="Arial"/>
          <w:sz w:val="18"/>
          <w:szCs w:val="18"/>
        </w:rPr>
        <w:t>Poskytovateli</w:t>
      </w:r>
      <w:r w:rsidRPr="00881DFC">
        <w:rPr>
          <w:rFonts w:ascii="Arial" w:hAnsi="Arial" w:cs="Arial"/>
          <w:sz w:val="18"/>
          <w:szCs w:val="18"/>
        </w:rPr>
        <w:t xml:space="preserve"> v roce </w:t>
      </w:r>
      <w:r w:rsidRPr="00881DFC">
        <w:rPr>
          <w:rFonts w:ascii="Arial" w:hAnsi="Arial"/>
          <w:sz w:val="18"/>
          <w:szCs w:val="18"/>
          <w:highlight w:val="yellow"/>
        </w:rPr>
        <w:t>stropbd(char(4))</w:t>
      </w:r>
      <w:r w:rsidRPr="00881DFC">
        <w:rPr>
          <w:rFonts w:ascii="Arial" w:hAnsi="Arial"/>
          <w:sz w:val="18"/>
          <w:szCs w:val="18"/>
        </w:rPr>
        <w:t>. Celková úhrada</w:t>
      </w:r>
      <w:r>
        <w:rPr>
          <w:rFonts w:ascii="Arial" w:hAnsi="Arial"/>
          <w:sz w:val="18"/>
          <w:szCs w:val="18"/>
        </w:rPr>
        <w:t xml:space="preserve"> Poskytovateli</w:t>
      </w:r>
      <w:r w:rsidRPr="00881DFC">
        <w:rPr>
          <w:rFonts w:ascii="Arial" w:hAnsi="Arial"/>
          <w:sz w:val="18"/>
          <w:szCs w:val="18"/>
        </w:rPr>
        <w:t xml:space="preserve"> tak bude činit maximálně </w:t>
      </w:r>
      <w:r w:rsidRPr="00881DFC">
        <w:rPr>
          <w:rFonts w:ascii="Arial" w:hAnsi="Arial"/>
          <w:sz w:val="18"/>
          <w:szCs w:val="18"/>
          <w:highlight w:val="yellow"/>
        </w:rPr>
        <w:t>kcstrop integer</w:t>
      </w:r>
      <w:r w:rsidRPr="00881DFC">
        <w:rPr>
          <w:rFonts w:ascii="Arial" w:hAnsi="Arial"/>
          <w:sz w:val="18"/>
          <w:szCs w:val="18"/>
        </w:rPr>
        <w:t xml:space="preserve"> Kč.</w:t>
      </w:r>
    </w:p>
    <w:p w14:paraId="6205D60C" w14:textId="77777777" w:rsidR="008D72F8" w:rsidRPr="00881DFC" w:rsidRDefault="008D72F8" w:rsidP="008D72F8">
      <w:pPr>
        <w:pStyle w:val="Zkladntext3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81DFC">
        <w:rPr>
          <w:rFonts w:ascii="Arial" w:hAnsi="Arial" w:cs="Arial"/>
          <w:sz w:val="18"/>
          <w:szCs w:val="18"/>
          <w:highlight w:val="cyan"/>
        </w:rPr>
        <w:t>If strop = 2 then</w:t>
      </w:r>
    </w:p>
    <w:p w14:paraId="14F18877" w14:textId="4D5A4E0C" w:rsidR="008D72F8" w:rsidRPr="00881DFC" w:rsidRDefault="008D72F8" w:rsidP="008D72F8">
      <w:pPr>
        <w:pStyle w:val="Zkladntext3"/>
        <w:spacing w:after="0"/>
        <w:ind w:left="360"/>
        <w:jc w:val="both"/>
        <w:rPr>
          <w:rFonts w:ascii="Arial" w:hAnsi="Arial"/>
          <w:sz w:val="18"/>
          <w:szCs w:val="18"/>
        </w:rPr>
      </w:pPr>
      <w:r w:rsidRPr="00881DFC">
        <w:rPr>
          <w:rFonts w:ascii="Arial" w:hAnsi="Arial" w:cs="Arial"/>
          <w:sz w:val="18"/>
          <w:szCs w:val="18"/>
        </w:rPr>
        <w:t xml:space="preserve">Smluvní strany se dále dohodly, že celková úhrada Zdravotní pojišťovny </w:t>
      </w:r>
      <w:r w:rsidRPr="00881DFC">
        <w:rPr>
          <w:rFonts w:ascii="Arial" w:hAnsi="Arial"/>
          <w:sz w:val="18"/>
          <w:szCs w:val="18"/>
        </w:rPr>
        <w:t>Poskytovateli</w:t>
      </w:r>
      <w:r w:rsidRPr="00881DFC">
        <w:rPr>
          <w:rFonts w:ascii="Arial" w:hAnsi="Arial" w:cs="Arial"/>
          <w:sz w:val="18"/>
          <w:szCs w:val="18"/>
        </w:rPr>
        <w:t xml:space="preserve"> vypočtená na základě </w:t>
      </w:r>
      <w:r>
        <w:rPr>
          <w:rFonts w:ascii="Arial" w:hAnsi="Arial" w:cs="Arial"/>
          <w:sz w:val="18"/>
          <w:szCs w:val="18"/>
        </w:rPr>
        <w:t>odstavce 1 tohoto článku nepřevýší smluvně sjednanou maximální celkovou úhradu ve výši</w:t>
      </w:r>
      <w:r w:rsidRPr="00881D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highlight w:val="yellow"/>
        </w:rPr>
        <w:t>kcstrop</w:t>
      </w:r>
      <w:r w:rsidRPr="00881DFC">
        <w:rPr>
          <w:rFonts w:ascii="Arial" w:hAnsi="Arial" w:cs="Arial"/>
          <w:sz w:val="18"/>
          <w:szCs w:val="18"/>
        </w:rPr>
        <w:t xml:space="preserve">  Kč pro rok </w:t>
      </w:r>
      <w:r w:rsidR="00E43658">
        <w:rPr>
          <w:rFonts w:ascii="Arial" w:hAnsi="Arial"/>
          <w:sz w:val="18"/>
          <w:szCs w:val="18"/>
        </w:rPr>
        <w:t>2019</w:t>
      </w:r>
      <w:r w:rsidRPr="00881DFC">
        <w:rPr>
          <w:rFonts w:ascii="Arial" w:hAnsi="Arial"/>
          <w:sz w:val="18"/>
          <w:szCs w:val="18"/>
        </w:rPr>
        <w:t>.</w:t>
      </w:r>
    </w:p>
    <w:p w14:paraId="12BB4798" w14:textId="3C91F7EA" w:rsidR="008D72F8" w:rsidRPr="00881DFC" w:rsidRDefault="008D72F8" w:rsidP="003B2FCF">
      <w:pPr>
        <w:pStyle w:val="Zkladntext3"/>
        <w:spacing w:after="0"/>
        <w:ind w:left="360"/>
        <w:jc w:val="both"/>
        <w:rPr>
          <w:rFonts w:ascii="Arial" w:hAnsi="Arial"/>
          <w:sz w:val="18"/>
          <w:szCs w:val="18"/>
        </w:rPr>
      </w:pPr>
      <w:r w:rsidRPr="00881DFC">
        <w:rPr>
          <w:rFonts w:ascii="Arial" w:hAnsi="Arial"/>
          <w:sz w:val="18"/>
          <w:szCs w:val="18"/>
          <w:highlight w:val="cyan"/>
        </w:rPr>
        <w:t>End if</w:t>
      </w:r>
    </w:p>
    <w:p w14:paraId="685A4E8B" w14:textId="4029989F" w:rsidR="008E1F48" w:rsidRDefault="008E1F48" w:rsidP="008E1F48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Referenčním obdobím se </w:t>
      </w:r>
      <w:r w:rsidRPr="008760B8">
        <w:rPr>
          <w:rFonts w:ascii="Arial" w:hAnsi="Arial" w:cs="Arial"/>
          <w:sz w:val="18"/>
          <w:szCs w:val="18"/>
        </w:rPr>
        <w:t xml:space="preserve">rozumí </w:t>
      </w:r>
      <w:r w:rsidR="00E92CE0">
        <w:rPr>
          <w:rFonts w:ascii="Arial" w:hAnsi="Arial" w:cs="Arial"/>
          <w:sz w:val="18"/>
          <w:szCs w:val="18"/>
        </w:rPr>
        <w:t>r</w:t>
      </w:r>
      <w:bookmarkStart w:id="0" w:name="_GoBack"/>
      <w:bookmarkEnd w:id="0"/>
      <w:r w:rsidR="00EE4440" w:rsidRPr="008760B8">
        <w:rPr>
          <w:rFonts w:ascii="Arial" w:hAnsi="Arial" w:cs="Arial"/>
          <w:sz w:val="18"/>
          <w:szCs w:val="18"/>
        </w:rPr>
        <w:t xml:space="preserve">ok </w:t>
      </w:r>
      <w:r w:rsidR="00EE4440" w:rsidRPr="008760B8">
        <w:rPr>
          <w:rFonts w:ascii="Arial" w:hAnsi="Arial"/>
          <w:sz w:val="18"/>
          <w:szCs w:val="18"/>
          <w:highlight w:val="green"/>
        </w:rPr>
        <w:t>refobd(char(4))</w:t>
      </w:r>
      <w:r>
        <w:rPr>
          <w:rFonts w:ascii="Arial" w:hAnsi="Arial"/>
          <w:sz w:val="18"/>
          <w:szCs w:val="18"/>
        </w:rPr>
        <w:t xml:space="preserve">a hodnoceným obdobím se rozumí rok </w:t>
      </w:r>
      <w:r w:rsidR="001C2944">
        <w:rPr>
          <w:rFonts w:ascii="Arial" w:hAnsi="Arial"/>
          <w:sz w:val="18"/>
          <w:szCs w:val="18"/>
        </w:rPr>
        <w:t>2019</w:t>
      </w:r>
      <w:r>
        <w:rPr>
          <w:rFonts w:ascii="Arial" w:hAnsi="Arial"/>
          <w:sz w:val="18"/>
          <w:szCs w:val="18"/>
        </w:rPr>
        <w:t>.</w:t>
      </w:r>
    </w:p>
    <w:p w14:paraId="318441F9" w14:textId="0D0E579C" w:rsidR="00D038C7" w:rsidRPr="008E1F48" w:rsidRDefault="008E1F48" w:rsidP="00BF0C16">
      <w:pPr>
        <w:pStyle w:val="Textodstavce"/>
        <w:numPr>
          <w:ilvl w:val="0"/>
          <w:numId w:val="6"/>
        </w:numPr>
        <w:tabs>
          <w:tab w:val="clear" w:pos="851"/>
        </w:tabs>
        <w:spacing w:before="0" w:after="0"/>
        <w:rPr>
          <w:rFonts w:ascii="Arial" w:hAnsi="Arial" w:cs="Arial"/>
          <w:b/>
          <w:sz w:val="17"/>
          <w:szCs w:val="17"/>
        </w:rPr>
      </w:pPr>
      <w:r w:rsidRPr="00076AA9">
        <w:rPr>
          <w:rFonts w:ascii="Arial" w:hAnsi="Arial" w:cs="Arial"/>
          <w:sz w:val="18"/>
          <w:szCs w:val="18"/>
        </w:rPr>
        <w:t xml:space="preserve">Unikátním </w:t>
      </w:r>
      <w:r w:rsidRPr="00076AA9">
        <w:rPr>
          <w:rFonts w:ascii="Arial" w:hAnsi="Arial"/>
          <w:sz w:val="18"/>
          <w:szCs w:val="18"/>
        </w:rPr>
        <w:t xml:space="preserve">pojištěncem </w:t>
      </w:r>
      <w:r w:rsidR="00877B93">
        <w:rPr>
          <w:rFonts w:ascii="Arial" w:hAnsi="Arial"/>
          <w:sz w:val="18"/>
          <w:szCs w:val="18"/>
        </w:rPr>
        <w:t xml:space="preserve">Zdravotní pojišťovny </w:t>
      </w:r>
      <w:r w:rsidRPr="00076AA9">
        <w:rPr>
          <w:rFonts w:ascii="Arial" w:hAnsi="Arial"/>
          <w:sz w:val="18"/>
          <w:szCs w:val="18"/>
        </w:rPr>
        <w:t xml:space="preserve">se rozumí pojištěnec Zdravotní pojišťovny, kterému </w:t>
      </w:r>
      <w:r w:rsidRPr="00076AA9">
        <w:rPr>
          <w:rFonts w:ascii="Arial" w:hAnsi="Arial" w:cs="Arial"/>
          <w:sz w:val="18"/>
          <w:szCs w:val="18"/>
        </w:rPr>
        <w:t xml:space="preserve">Poskytovatel poskytl zdravotní služby </w:t>
      </w:r>
      <w:r w:rsidRPr="00076AA9">
        <w:rPr>
          <w:rFonts w:ascii="Arial" w:hAnsi="Arial"/>
          <w:sz w:val="18"/>
          <w:szCs w:val="18"/>
        </w:rPr>
        <w:t>v příslušném roce alespoň jedenkrát, přičemž není rozhodné, zda se jedná o ošetření v rámci služeb vlastních nebo služeb vyžádaných</w:t>
      </w:r>
      <w:r>
        <w:rPr>
          <w:rFonts w:ascii="Arial" w:hAnsi="Arial"/>
          <w:sz w:val="18"/>
          <w:szCs w:val="18"/>
        </w:rPr>
        <w:t xml:space="preserve">. </w:t>
      </w:r>
    </w:p>
    <w:p w14:paraId="398810E2" w14:textId="7E9F5C8F" w:rsidR="008E1F48" w:rsidRDefault="008E1F48" w:rsidP="008E1F48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5B682C">
        <w:rPr>
          <w:rFonts w:ascii="Arial" w:hAnsi="Arial" w:cs="Arial"/>
          <w:sz w:val="18"/>
          <w:szCs w:val="18"/>
        </w:rPr>
        <w:t>Omezení úhrady uvedené v</w:t>
      </w:r>
      <w:r w:rsidR="00877B93" w:rsidRPr="005B682C">
        <w:rPr>
          <w:rFonts w:ascii="Arial" w:hAnsi="Arial" w:cs="Arial"/>
          <w:sz w:val="18"/>
          <w:szCs w:val="18"/>
        </w:rPr>
        <w:t> odst.</w:t>
      </w:r>
      <w:r w:rsidRPr="005B682C">
        <w:rPr>
          <w:rFonts w:ascii="Arial" w:hAnsi="Arial" w:cs="Arial"/>
          <w:sz w:val="18"/>
          <w:szCs w:val="18"/>
        </w:rPr>
        <w:t xml:space="preserve"> </w:t>
      </w:r>
      <w:r w:rsidR="00A91CAC">
        <w:rPr>
          <w:rFonts w:ascii="Arial" w:hAnsi="Arial" w:cs="Arial"/>
          <w:sz w:val="18"/>
          <w:szCs w:val="18"/>
        </w:rPr>
        <w:t>3</w:t>
      </w:r>
      <w:r w:rsidR="00877B93" w:rsidRPr="005B682C">
        <w:rPr>
          <w:rFonts w:ascii="Arial" w:hAnsi="Arial" w:cs="Arial"/>
          <w:sz w:val="18"/>
          <w:szCs w:val="18"/>
        </w:rPr>
        <w:t>. tohoto článku</w:t>
      </w:r>
      <w:r w:rsidRPr="005B682C">
        <w:rPr>
          <w:rFonts w:ascii="Arial" w:hAnsi="Arial" w:cs="Arial"/>
          <w:sz w:val="18"/>
          <w:szCs w:val="18"/>
        </w:rPr>
        <w:t xml:space="preserve"> se nepoužije, pokud Poskytovatel ošetřil v</w:t>
      </w:r>
      <w:r w:rsidR="00A91CAC">
        <w:rPr>
          <w:rFonts w:ascii="Arial" w:hAnsi="Arial" w:cs="Arial"/>
          <w:sz w:val="18"/>
          <w:szCs w:val="18"/>
        </w:rPr>
        <w:t xml:space="preserve"> </w:t>
      </w:r>
      <w:r w:rsidRPr="005B682C">
        <w:rPr>
          <w:rFonts w:ascii="Arial" w:hAnsi="Arial" w:cs="Arial"/>
          <w:sz w:val="18"/>
          <w:szCs w:val="18"/>
        </w:rPr>
        <w:t xml:space="preserve">referenčním období </w:t>
      </w:r>
      <w:r w:rsidR="00A91CAC">
        <w:rPr>
          <w:rFonts w:ascii="Arial" w:hAnsi="Arial" w:cs="Arial"/>
          <w:sz w:val="18"/>
          <w:szCs w:val="18"/>
        </w:rPr>
        <w:t xml:space="preserve">v rámci jedné odbornosti </w:t>
      </w:r>
      <w:r w:rsidR="001C2944">
        <w:rPr>
          <w:rFonts w:ascii="Arial" w:hAnsi="Arial" w:cs="Arial"/>
          <w:sz w:val="18"/>
          <w:szCs w:val="18"/>
        </w:rPr>
        <w:t>80</w:t>
      </w:r>
      <w:r w:rsidR="001C2944" w:rsidRPr="005B682C">
        <w:rPr>
          <w:rFonts w:ascii="Arial" w:hAnsi="Arial" w:cs="Arial"/>
          <w:sz w:val="18"/>
          <w:szCs w:val="18"/>
        </w:rPr>
        <w:t xml:space="preserve"> </w:t>
      </w:r>
      <w:r w:rsidRPr="005B682C">
        <w:rPr>
          <w:rFonts w:ascii="Arial" w:hAnsi="Arial" w:cs="Arial"/>
          <w:sz w:val="18"/>
          <w:szCs w:val="18"/>
        </w:rPr>
        <w:t>a méně unikátních pojištěnců</w:t>
      </w:r>
      <w:r w:rsidR="00877B93" w:rsidRPr="005B682C">
        <w:rPr>
          <w:rFonts w:ascii="Arial" w:hAnsi="Arial" w:cs="Arial"/>
          <w:sz w:val="18"/>
          <w:szCs w:val="18"/>
        </w:rPr>
        <w:t xml:space="preserve"> Zdravotní pojišťovny</w:t>
      </w:r>
      <w:r w:rsidRPr="005B682C">
        <w:rPr>
          <w:rFonts w:ascii="Arial" w:hAnsi="Arial" w:cs="Arial"/>
          <w:sz w:val="18"/>
          <w:szCs w:val="18"/>
        </w:rPr>
        <w:t>. Dále se toto omezení nepoužije v případě zd</w:t>
      </w:r>
      <w:r w:rsidR="0049471A" w:rsidRPr="005B682C">
        <w:rPr>
          <w:rFonts w:ascii="Arial" w:hAnsi="Arial" w:cs="Arial"/>
          <w:sz w:val="18"/>
          <w:szCs w:val="18"/>
        </w:rPr>
        <w:t>ravotních služeb poskytovaných Z</w:t>
      </w:r>
      <w:r w:rsidRPr="005B682C">
        <w:rPr>
          <w:rFonts w:ascii="Arial" w:hAnsi="Arial" w:cs="Arial"/>
          <w:sz w:val="18"/>
          <w:szCs w:val="18"/>
        </w:rPr>
        <w:t>ahraničním pojištěncům.</w:t>
      </w:r>
    </w:p>
    <w:p w14:paraId="318441FA" w14:textId="07515380" w:rsidR="000B7AC5" w:rsidRPr="005B682C" w:rsidRDefault="000B7AC5" w:rsidP="00682508">
      <w:pPr>
        <w:pStyle w:val="Textodstavce"/>
        <w:numPr>
          <w:ilvl w:val="0"/>
          <w:numId w:val="6"/>
        </w:numPr>
        <w:tabs>
          <w:tab w:val="clear" w:pos="851"/>
        </w:tabs>
        <w:spacing w:before="0" w:after="0"/>
        <w:rPr>
          <w:rFonts w:ascii="Arial" w:hAnsi="Arial"/>
          <w:sz w:val="18"/>
          <w:szCs w:val="18"/>
        </w:rPr>
      </w:pPr>
      <w:r w:rsidRPr="005B682C">
        <w:rPr>
          <w:rFonts w:ascii="Arial" w:hAnsi="Arial"/>
          <w:sz w:val="18"/>
          <w:szCs w:val="18"/>
        </w:rPr>
        <w:t xml:space="preserve">U </w:t>
      </w:r>
      <w:r w:rsidR="007A0C3E" w:rsidRPr="005B682C">
        <w:rPr>
          <w:rFonts w:ascii="Arial" w:hAnsi="Arial" w:cs="Arial"/>
          <w:sz w:val="18"/>
          <w:szCs w:val="18"/>
        </w:rPr>
        <w:t xml:space="preserve">Poskytovatele, který v roce </w:t>
      </w:r>
      <w:r w:rsidR="002B12FF" w:rsidRPr="008760B8">
        <w:rPr>
          <w:rFonts w:ascii="Arial" w:hAnsi="Arial"/>
          <w:sz w:val="18"/>
          <w:szCs w:val="18"/>
          <w:highlight w:val="green"/>
        </w:rPr>
        <w:t>refobd(char(4))</w:t>
      </w:r>
      <w:r w:rsidR="00EE0F5E" w:rsidRPr="005B682C">
        <w:rPr>
          <w:rFonts w:ascii="Arial" w:hAnsi="Arial" w:cs="Arial"/>
          <w:sz w:val="18"/>
          <w:szCs w:val="18"/>
        </w:rPr>
        <w:t xml:space="preserve"> </w:t>
      </w:r>
      <w:r w:rsidR="007A0C3E" w:rsidRPr="005B682C">
        <w:rPr>
          <w:rFonts w:ascii="Arial" w:hAnsi="Arial" w:cs="Arial"/>
          <w:sz w:val="18"/>
          <w:szCs w:val="18"/>
        </w:rPr>
        <w:t>nebo jeho části neexistoval, neměl uzavřenou smlouvu o poskytování a úhradě zdravotní péče (služeb) se Zdravotní pojišťovnou, nebo neposkytoval zdravotní služby v dané odbornosti, může Zdravotní pojišťovna pro účely výpočtu průměrné úhrady na jednoho unikátního pojištěnce za referenční období (PUROo) použít hodnoty za referenční období u srovnatelných poskytovatelů zdravotních služeb</w:t>
      </w:r>
      <w:r w:rsidRPr="005B682C">
        <w:rPr>
          <w:rFonts w:ascii="Arial" w:hAnsi="Arial"/>
          <w:sz w:val="18"/>
          <w:szCs w:val="18"/>
        </w:rPr>
        <w:t xml:space="preserve">. </w:t>
      </w:r>
    </w:p>
    <w:p w14:paraId="318441FF" w14:textId="43482703" w:rsidR="00EF3BC0" w:rsidRPr="005B682C" w:rsidRDefault="00EF3BC0" w:rsidP="00CA15B2">
      <w:pPr>
        <w:pStyle w:val="Zkladntext311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682C">
        <w:rPr>
          <w:rFonts w:ascii="Arial" w:hAnsi="Arial"/>
          <w:sz w:val="18"/>
          <w:szCs w:val="18"/>
        </w:rPr>
        <w:t xml:space="preserve">Za </w:t>
      </w:r>
      <w:r w:rsidR="008E1F48" w:rsidRPr="005B682C">
        <w:rPr>
          <w:rFonts w:ascii="Arial" w:hAnsi="Arial"/>
          <w:sz w:val="18"/>
          <w:szCs w:val="18"/>
        </w:rPr>
        <w:t>každý Poskytovatelem vykázaný a Zdravotní pojišťovnou uznaný výkon č. 09543 podle Seznamu zdravotních výkonů je dohodnuta úhrada ve výši 30</w:t>
      </w:r>
      <w:r w:rsidR="00EA1819" w:rsidRPr="005B682C">
        <w:rPr>
          <w:rFonts w:ascii="Arial" w:hAnsi="Arial"/>
          <w:sz w:val="18"/>
          <w:szCs w:val="18"/>
        </w:rPr>
        <w:t>,-</w:t>
      </w:r>
      <w:r w:rsidR="008E1F48" w:rsidRPr="005B682C">
        <w:rPr>
          <w:rFonts w:ascii="Arial" w:hAnsi="Arial"/>
          <w:sz w:val="18"/>
          <w:szCs w:val="18"/>
        </w:rPr>
        <w:t xml:space="preserve"> Kč</w:t>
      </w:r>
      <w:r w:rsidR="006353BF" w:rsidRPr="005B682C">
        <w:rPr>
          <w:rFonts w:ascii="Arial" w:hAnsi="Arial"/>
          <w:sz w:val="18"/>
          <w:szCs w:val="18"/>
        </w:rPr>
        <w:t xml:space="preserve"> bez dalších omezení</w:t>
      </w:r>
      <w:r w:rsidR="008E1F48" w:rsidRPr="005B682C">
        <w:rPr>
          <w:rFonts w:ascii="Arial" w:hAnsi="Arial"/>
          <w:sz w:val="18"/>
          <w:szCs w:val="18"/>
        </w:rPr>
        <w:t>, která bude zaplacena nad rámec předběžné úhrady uvedené v</w:t>
      </w:r>
      <w:r w:rsidR="00EA1819" w:rsidRPr="005B682C">
        <w:rPr>
          <w:rFonts w:ascii="Arial" w:hAnsi="Arial"/>
          <w:sz w:val="18"/>
          <w:szCs w:val="18"/>
        </w:rPr>
        <w:t> odst</w:t>
      </w:r>
      <w:r w:rsidR="0049471A" w:rsidRPr="005B682C">
        <w:rPr>
          <w:rFonts w:ascii="Arial" w:hAnsi="Arial"/>
          <w:sz w:val="18"/>
          <w:szCs w:val="18"/>
        </w:rPr>
        <w:t>avci</w:t>
      </w:r>
      <w:r w:rsidR="008E1F48" w:rsidRPr="005B682C">
        <w:rPr>
          <w:rFonts w:ascii="Arial" w:hAnsi="Arial"/>
          <w:sz w:val="18"/>
          <w:szCs w:val="18"/>
        </w:rPr>
        <w:t xml:space="preserve"> </w:t>
      </w:r>
      <w:r w:rsidR="00555833">
        <w:rPr>
          <w:rFonts w:ascii="Arial" w:hAnsi="Arial"/>
          <w:sz w:val="18"/>
          <w:szCs w:val="18"/>
        </w:rPr>
        <w:t>10</w:t>
      </w:r>
      <w:r w:rsidR="008E1F48" w:rsidRPr="005B682C">
        <w:rPr>
          <w:rFonts w:ascii="Arial" w:hAnsi="Arial"/>
          <w:sz w:val="18"/>
          <w:szCs w:val="18"/>
        </w:rPr>
        <w:t xml:space="preserve"> </w:t>
      </w:r>
      <w:r w:rsidR="00EA1819" w:rsidRPr="005B682C">
        <w:rPr>
          <w:rFonts w:ascii="Arial" w:hAnsi="Arial"/>
          <w:sz w:val="18"/>
          <w:szCs w:val="18"/>
        </w:rPr>
        <w:t>tohoto článku</w:t>
      </w:r>
      <w:r w:rsidR="0049471A" w:rsidRPr="005B682C">
        <w:rPr>
          <w:rFonts w:ascii="Arial" w:hAnsi="Arial"/>
          <w:sz w:val="18"/>
          <w:szCs w:val="18"/>
        </w:rPr>
        <w:t xml:space="preserve"> a nebude započtena do limitu celkové úhrady uvedené v odstavci </w:t>
      </w:r>
      <w:r w:rsidR="00555833">
        <w:rPr>
          <w:rFonts w:ascii="Arial" w:hAnsi="Arial"/>
          <w:sz w:val="18"/>
          <w:szCs w:val="18"/>
        </w:rPr>
        <w:t>3</w:t>
      </w:r>
      <w:r w:rsidR="0049471A" w:rsidRPr="005B682C">
        <w:rPr>
          <w:rFonts w:ascii="Arial" w:hAnsi="Arial"/>
          <w:sz w:val="18"/>
          <w:szCs w:val="18"/>
        </w:rPr>
        <w:t xml:space="preserve"> tohoto článku</w:t>
      </w:r>
      <w:r w:rsidR="00EA1819" w:rsidRPr="005B682C">
        <w:rPr>
          <w:rFonts w:ascii="Arial" w:hAnsi="Arial"/>
          <w:sz w:val="18"/>
          <w:szCs w:val="18"/>
        </w:rPr>
        <w:t>.</w:t>
      </w:r>
    </w:p>
    <w:p w14:paraId="31844200" w14:textId="77777777" w:rsidR="00DF754D" w:rsidRPr="005B682C" w:rsidRDefault="00DF754D" w:rsidP="00DF754D">
      <w:pPr>
        <w:pStyle w:val="Textodstavce"/>
        <w:numPr>
          <w:ilvl w:val="0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5B682C">
        <w:rPr>
          <w:rFonts w:ascii="Arial" w:hAnsi="Arial" w:cs="Arial"/>
          <w:sz w:val="18"/>
          <w:szCs w:val="18"/>
        </w:rPr>
        <w:t>Smluvní strany se dohodly na uplatnění následujících regulačních mechanismů:</w:t>
      </w:r>
    </w:p>
    <w:p w14:paraId="31844201" w14:textId="419AFB7D" w:rsidR="00DF754D" w:rsidRPr="005B682C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5B682C">
        <w:rPr>
          <w:rFonts w:ascii="Arial" w:hAnsi="Arial" w:cs="Arial"/>
          <w:sz w:val="18"/>
          <w:szCs w:val="18"/>
        </w:rPr>
        <w:t xml:space="preserve">Pokud </w:t>
      </w:r>
      <w:r w:rsidRPr="005B682C">
        <w:rPr>
          <w:rFonts w:ascii="Arial" w:hAnsi="Arial"/>
          <w:sz w:val="18"/>
          <w:szCs w:val="18"/>
        </w:rPr>
        <w:t>Poskytovatel</w:t>
      </w:r>
      <w:r w:rsidRPr="005B682C">
        <w:rPr>
          <w:rFonts w:ascii="Arial" w:hAnsi="Arial" w:cs="Arial"/>
          <w:sz w:val="18"/>
          <w:szCs w:val="18"/>
        </w:rPr>
        <w:t xml:space="preserve"> dosáhne průměrné úhrady na jednoho unikátního pojištěnce </w:t>
      </w:r>
      <w:r w:rsidR="00EA1819" w:rsidRPr="005B682C">
        <w:rPr>
          <w:rFonts w:ascii="Arial" w:hAnsi="Arial" w:cs="Arial"/>
          <w:sz w:val="18"/>
          <w:szCs w:val="18"/>
        </w:rPr>
        <w:t xml:space="preserve">Zdravotní pojišťovny </w:t>
      </w:r>
      <w:r w:rsidRPr="005B682C">
        <w:rPr>
          <w:rFonts w:ascii="Arial" w:hAnsi="Arial" w:cs="Arial"/>
          <w:sz w:val="18"/>
          <w:szCs w:val="18"/>
        </w:rPr>
        <w:t xml:space="preserve">za předepsané léčivé přípravky a zdravotnické prostředky v hodnoceném období vyšší než </w:t>
      </w:r>
      <w:r w:rsidR="00343D17">
        <w:rPr>
          <w:rFonts w:ascii="Arial" w:hAnsi="Arial" w:cs="Arial"/>
          <w:sz w:val="18"/>
          <w:szCs w:val="18"/>
        </w:rPr>
        <w:t>102</w:t>
      </w:r>
      <w:r w:rsidRPr="005B682C">
        <w:rPr>
          <w:rFonts w:ascii="Arial" w:hAnsi="Arial" w:cs="Arial"/>
          <w:sz w:val="18"/>
          <w:szCs w:val="18"/>
        </w:rPr>
        <w:t>% průměrné úhrady na jednoho unikátního pojištěnce</w:t>
      </w:r>
      <w:r w:rsidR="00EA1819" w:rsidRPr="005B682C">
        <w:rPr>
          <w:rFonts w:ascii="Arial" w:hAnsi="Arial" w:cs="Arial"/>
          <w:sz w:val="18"/>
          <w:szCs w:val="18"/>
        </w:rPr>
        <w:t xml:space="preserve"> Zdravotní pojišťovny</w:t>
      </w:r>
      <w:r w:rsidRPr="005B682C">
        <w:rPr>
          <w:rFonts w:ascii="Arial" w:hAnsi="Arial" w:cs="Arial"/>
          <w:sz w:val="18"/>
          <w:szCs w:val="18"/>
        </w:rPr>
        <w:t xml:space="preserve"> za předepsané léčivé přípravky a zdravotnické prostředky v referenčním období, sníží Zdravotní pojišťovna po skončení roku </w:t>
      </w:r>
      <w:r w:rsidR="00E43658">
        <w:rPr>
          <w:rFonts w:ascii="Arial" w:hAnsi="Arial" w:cs="Arial"/>
          <w:sz w:val="18"/>
          <w:szCs w:val="18"/>
        </w:rPr>
        <w:t>2019</w:t>
      </w:r>
      <w:r w:rsidR="00E43658" w:rsidRPr="005B682C">
        <w:rPr>
          <w:rFonts w:ascii="Arial" w:hAnsi="Arial" w:cs="Arial"/>
          <w:sz w:val="18"/>
          <w:szCs w:val="18"/>
        </w:rPr>
        <w:t xml:space="preserve"> </w:t>
      </w:r>
      <w:r w:rsidRPr="005B682C">
        <w:rPr>
          <w:rFonts w:ascii="Arial" w:hAnsi="Arial" w:cs="Arial"/>
          <w:sz w:val="18"/>
          <w:szCs w:val="18"/>
        </w:rPr>
        <w:t xml:space="preserve">úhradu o částku odpovídající součinu 2,5% z překročení referenční průměrné úhrady a počtu unikátních pojištěnců </w:t>
      </w:r>
      <w:r w:rsidR="00EA1819" w:rsidRPr="005B682C">
        <w:rPr>
          <w:rFonts w:ascii="Arial" w:hAnsi="Arial" w:cs="Arial"/>
          <w:sz w:val="18"/>
          <w:szCs w:val="18"/>
        </w:rPr>
        <w:t xml:space="preserve">Zdravotní pojišťovny </w:t>
      </w:r>
      <w:r w:rsidRPr="005B682C">
        <w:rPr>
          <w:rFonts w:ascii="Arial" w:hAnsi="Arial" w:cs="Arial"/>
          <w:sz w:val="18"/>
          <w:szCs w:val="18"/>
        </w:rPr>
        <w:t>v hodnoceném období za každé započaté 0,5% překročení referenční průměrné úhrady, nejvýše však 40% z překročení.</w:t>
      </w:r>
      <w:r w:rsidR="00022922" w:rsidRPr="005B682C">
        <w:rPr>
          <w:rFonts w:ascii="Arial" w:hAnsi="Arial" w:cs="Arial"/>
          <w:sz w:val="18"/>
          <w:szCs w:val="18"/>
        </w:rPr>
        <w:t xml:space="preserve"> </w:t>
      </w:r>
      <w:r w:rsidRPr="005B682C">
        <w:rPr>
          <w:rFonts w:ascii="Arial" w:hAnsi="Arial" w:cs="Arial"/>
          <w:sz w:val="18"/>
          <w:szCs w:val="18"/>
        </w:rPr>
        <w:t>Do regulačního omezení se nezahrnují zdravotnické prostředky schválené revizním lékařem</w:t>
      </w:r>
      <w:r w:rsidR="00C31629">
        <w:rPr>
          <w:rFonts w:ascii="Arial" w:hAnsi="Arial" w:cs="Arial"/>
          <w:sz w:val="18"/>
          <w:szCs w:val="18"/>
        </w:rPr>
        <w:t xml:space="preserve"> Zdravotní pojišťovny</w:t>
      </w:r>
      <w:r w:rsidRPr="005B682C">
        <w:rPr>
          <w:rFonts w:ascii="Arial" w:hAnsi="Arial" w:cs="Arial"/>
          <w:sz w:val="18"/>
          <w:szCs w:val="18"/>
        </w:rPr>
        <w:t xml:space="preserve">. </w:t>
      </w:r>
    </w:p>
    <w:p w14:paraId="31844202" w14:textId="765AC28B" w:rsidR="00DF754D" w:rsidRPr="00CC35E4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5B682C">
        <w:rPr>
          <w:rFonts w:ascii="Arial" w:hAnsi="Arial" w:cs="Arial"/>
          <w:sz w:val="18"/>
          <w:szCs w:val="18"/>
        </w:rPr>
        <w:t xml:space="preserve">Pokud </w:t>
      </w:r>
      <w:r w:rsidRPr="005B682C">
        <w:rPr>
          <w:rFonts w:ascii="Arial" w:hAnsi="Arial"/>
          <w:sz w:val="18"/>
          <w:szCs w:val="18"/>
        </w:rPr>
        <w:t xml:space="preserve">Poskytovatel </w:t>
      </w:r>
      <w:r w:rsidRPr="005B682C">
        <w:rPr>
          <w:rFonts w:ascii="Arial" w:hAnsi="Arial" w:cs="Arial"/>
          <w:sz w:val="18"/>
          <w:szCs w:val="18"/>
        </w:rPr>
        <w:t xml:space="preserve">dosáhne průměrné úhrady na jednoho unikátního pojištěnce </w:t>
      </w:r>
      <w:r w:rsidR="00EA1819" w:rsidRPr="005B682C">
        <w:rPr>
          <w:rFonts w:ascii="Arial" w:hAnsi="Arial" w:cs="Arial"/>
          <w:sz w:val="18"/>
          <w:szCs w:val="18"/>
        </w:rPr>
        <w:t xml:space="preserve">Zdravotní pojišťovny </w:t>
      </w:r>
      <w:r w:rsidRPr="005B682C">
        <w:rPr>
          <w:rFonts w:ascii="Arial" w:hAnsi="Arial" w:cs="Arial"/>
          <w:sz w:val="18"/>
          <w:szCs w:val="18"/>
        </w:rPr>
        <w:t xml:space="preserve">za vyžádané služby v odbornostech 222, 801, 802, 807, </w:t>
      </w:r>
      <w:r w:rsidR="005B591A">
        <w:rPr>
          <w:rFonts w:ascii="Arial" w:hAnsi="Arial" w:cs="Arial"/>
          <w:sz w:val="18"/>
          <w:szCs w:val="18"/>
        </w:rPr>
        <w:t xml:space="preserve">808, </w:t>
      </w:r>
      <w:r w:rsidRPr="005B682C">
        <w:rPr>
          <w:rFonts w:ascii="Arial" w:hAnsi="Arial" w:cs="Arial"/>
          <w:sz w:val="18"/>
          <w:szCs w:val="18"/>
        </w:rPr>
        <w:t>809,</w:t>
      </w:r>
      <w:r w:rsidRPr="00CC35E4">
        <w:rPr>
          <w:rFonts w:ascii="Arial" w:hAnsi="Arial" w:cs="Arial"/>
          <w:sz w:val="18"/>
          <w:szCs w:val="18"/>
        </w:rPr>
        <w:t xml:space="preserve"> 810, 812 až 819</w:t>
      </w:r>
      <w:r w:rsidR="00093F06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>a 823 (dále jen „</w:t>
      </w:r>
      <w:r w:rsidR="00C31629">
        <w:rPr>
          <w:rFonts w:ascii="Arial" w:hAnsi="Arial" w:cs="Arial"/>
          <w:sz w:val="18"/>
          <w:szCs w:val="18"/>
        </w:rPr>
        <w:t>V</w:t>
      </w:r>
      <w:r w:rsidRPr="00CC35E4">
        <w:rPr>
          <w:rFonts w:ascii="Arial" w:hAnsi="Arial" w:cs="Arial"/>
          <w:sz w:val="18"/>
          <w:szCs w:val="18"/>
        </w:rPr>
        <w:t>yjmenované odbornosti“) v hodnoceném období vyšší než 102% průměrné úhrady na jednoho unikátního pojištěnce</w:t>
      </w:r>
      <w:r w:rsidR="00EA1819" w:rsidRPr="00CC35E4">
        <w:rPr>
          <w:rFonts w:ascii="Arial" w:hAnsi="Arial" w:cs="Arial"/>
          <w:sz w:val="18"/>
          <w:szCs w:val="18"/>
        </w:rPr>
        <w:t xml:space="preserve"> Zdravotní pojišťovny</w:t>
      </w:r>
      <w:r w:rsidRPr="00CC35E4">
        <w:rPr>
          <w:rFonts w:ascii="Arial" w:hAnsi="Arial" w:cs="Arial"/>
          <w:sz w:val="18"/>
          <w:szCs w:val="18"/>
        </w:rPr>
        <w:t xml:space="preserve"> za vyžádané služby ve </w:t>
      </w:r>
      <w:r w:rsidR="00C31629">
        <w:rPr>
          <w:rFonts w:ascii="Arial" w:hAnsi="Arial" w:cs="Arial"/>
          <w:sz w:val="18"/>
          <w:szCs w:val="18"/>
        </w:rPr>
        <w:t>V</w:t>
      </w:r>
      <w:r w:rsidRPr="00CC35E4">
        <w:rPr>
          <w:rFonts w:ascii="Arial" w:hAnsi="Arial" w:cs="Arial"/>
          <w:sz w:val="18"/>
          <w:szCs w:val="18"/>
        </w:rPr>
        <w:t xml:space="preserve">yjmenovaných odbornostech v referenčním období, sníží Zdravotní pojišťovna po skončení roku </w:t>
      </w:r>
      <w:r w:rsidR="00E43658">
        <w:rPr>
          <w:rFonts w:ascii="Arial" w:hAnsi="Arial" w:cs="Arial"/>
          <w:sz w:val="18"/>
          <w:szCs w:val="18"/>
        </w:rPr>
        <w:t>2019</w:t>
      </w:r>
      <w:r w:rsidR="00E43658" w:rsidRPr="00CC35E4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 xml:space="preserve">úhradu o částku odpovídající součinu 2,5 % z překročení referenční průměrné úhrady a počtu unikátních pojištěnců v hodnoceném období za každé započaté 0,5% překročení referenční průměrné úhrady, nejvýše však 40% z překročení. Mezi vyžádané služby se nezahrnují zdravotní výkony mamografického screeningu, screeningu karcinomu děložního hrdla a screeningu kolorektálního karcinomu prováděné </w:t>
      </w:r>
      <w:r w:rsidR="00FB4769">
        <w:rPr>
          <w:rFonts w:ascii="Arial" w:hAnsi="Arial" w:cs="Arial"/>
          <w:sz w:val="18"/>
          <w:szCs w:val="18"/>
        </w:rPr>
        <w:t>Poskytovatelem</w:t>
      </w:r>
      <w:r w:rsidRPr="00CC35E4">
        <w:rPr>
          <w:rFonts w:ascii="Arial" w:hAnsi="Arial" w:cs="Arial"/>
          <w:sz w:val="18"/>
          <w:szCs w:val="18"/>
        </w:rPr>
        <w:t>, který má se Zdravotní pojišťovnou na poskytování těchto výkonů uzavřenu smlouvu. Pro účely stanovení výše průměrných úhrad i výše případné srážky, podle věty první, se výkony vyžádaných služeb v hodnoceném i referenčním období ocení podle Seznamu zdravotních výkonů hodnotami bodu platnými v hodnoceném období.</w:t>
      </w:r>
    </w:p>
    <w:p w14:paraId="31844203" w14:textId="14F6AB21" w:rsidR="00DF754D" w:rsidRPr="00CC35E4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>Referenč</w:t>
      </w:r>
      <w:r w:rsidR="008E1F48" w:rsidRPr="00CC35E4">
        <w:rPr>
          <w:rFonts w:ascii="Arial" w:hAnsi="Arial" w:cs="Arial"/>
          <w:sz w:val="18"/>
          <w:szCs w:val="18"/>
        </w:rPr>
        <w:t xml:space="preserve">ním obdobím </w:t>
      </w:r>
      <w:r w:rsidRPr="00CC35E4">
        <w:rPr>
          <w:rFonts w:ascii="Arial" w:hAnsi="Arial" w:cs="Arial"/>
          <w:sz w:val="18"/>
          <w:szCs w:val="18"/>
        </w:rPr>
        <w:t xml:space="preserve">se </w:t>
      </w:r>
      <w:r w:rsidR="00C31629">
        <w:rPr>
          <w:rFonts w:ascii="Arial" w:hAnsi="Arial" w:cs="Arial"/>
          <w:sz w:val="18"/>
          <w:szCs w:val="18"/>
        </w:rPr>
        <w:t>pro účely čl. II</w:t>
      </w:r>
      <w:r w:rsidR="00AF3E6F">
        <w:rPr>
          <w:rFonts w:ascii="Arial" w:hAnsi="Arial" w:cs="Arial"/>
          <w:sz w:val="18"/>
          <w:szCs w:val="18"/>
        </w:rPr>
        <w:t>.</w:t>
      </w:r>
      <w:r w:rsidR="00C31629">
        <w:rPr>
          <w:rFonts w:ascii="Arial" w:hAnsi="Arial" w:cs="Arial"/>
          <w:sz w:val="18"/>
          <w:szCs w:val="18"/>
        </w:rPr>
        <w:t xml:space="preserve"> odst. </w:t>
      </w:r>
      <w:r w:rsidR="00794D5E">
        <w:rPr>
          <w:rFonts w:ascii="Arial" w:hAnsi="Arial" w:cs="Arial"/>
          <w:sz w:val="18"/>
          <w:szCs w:val="18"/>
        </w:rPr>
        <w:t>9</w:t>
      </w:r>
      <w:r w:rsidR="00C31629">
        <w:rPr>
          <w:rFonts w:ascii="Arial" w:hAnsi="Arial" w:cs="Arial"/>
          <w:sz w:val="18"/>
          <w:szCs w:val="18"/>
        </w:rPr>
        <w:t xml:space="preserve"> tohoto Dodatku </w:t>
      </w:r>
      <w:r w:rsidRPr="00CC35E4">
        <w:rPr>
          <w:rFonts w:ascii="Arial" w:hAnsi="Arial" w:cs="Arial"/>
          <w:sz w:val="18"/>
          <w:szCs w:val="18"/>
        </w:rPr>
        <w:t xml:space="preserve">rozumí rok </w:t>
      </w:r>
      <w:r w:rsidR="002B12FF" w:rsidRPr="008760B8">
        <w:rPr>
          <w:rFonts w:ascii="Arial" w:hAnsi="Arial"/>
          <w:sz w:val="18"/>
          <w:szCs w:val="18"/>
          <w:highlight w:val="green"/>
        </w:rPr>
        <w:t>refobd</w:t>
      </w:r>
      <w:r w:rsidR="002B12FF">
        <w:rPr>
          <w:rFonts w:ascii="Arial" w:hAnsi="Arial"/>
          <w:sz w:val="18"/>
          <w:szCs w:val="18"/>
          <w:highlight w:val="green"/>
        </w:rPr>
        <w:t>rp</w:t>
      </w:r>
      <w:r w:rsidR="002B12FF" w:rsidRPr="008760B8">
        <w:rPr>
          <w:rFonts w:ascii="Arial" w:hAnsi="Arial"/>
          <w:sz w:val="18"/>
          <w:szCs w:val="18"/>
          <w:highlight w:val="green"/>
        </w:rPr>
        <w:t>(char(4))</w:t>
      </w:r>
      <w:r w:rsidRPr="00CC35E4">
        <w:rPr>
          <w:rFonts w:ascii="Arial" w:hAnsi="Arial"/>
          <w:sz w:val="18"/>
          <w:szCs w:val="18"/>
        </w:rPr>
        <w:t>.</w:t>
      </w:r>
      <w:r w:rsidRPr="00CC35E4">
        <w:rPr>
          <w:rFonts w:ascii="Arial" w:hAnsi="Arial" w:cs="Arial"/>
          <w:sz w:val="18"/>
          <w:szCs w:val="18"/>
        </w:rPr>
        <w:t xml:space="preserve"> Průměrné úhrady na jednoho unikátního pojištěnce</w:t>
      </w:r>
      <w:r w:rsidR="00EA1819" w:rsidRPr="00CC35E4">
        <w:rPr>
          <w:rFonts w:ascii="Arial" w:hAnsi="Arial" w:cs="Arial"/>
          <w:sz w:val="18"/>
          <w:szCs w:val="18"/>
        </w:rPr>
        <w:t xml:space="preserve"> Zdravotní pojišťovny</w:t>
      </w:r>
      <w:r w:rsidRPr="00CC35E4">
        <w:rPr>
          <w:rFonts w:ascii="Arial" w:hAnsi="Arial" w:cs="Arial"/>
          <w:sz w:val="18"/>
          <w:szCs w:val="18"/>
        </w:rPr>
        <w:t xml:space="preserve"> v</w:t>
      </w:r>
      <w:r w:rsidR="00D85996" w:rsidRPr="00CC35E4">
        <w:rPr>
          <w:rFonts w:ascii="Arial" w:hAnsi="Arial" w:cs="Arial"/>
          <w:sz w:val="18"/>
          <w:szCs w:val="18"/>
        </w:rPr>
        <w:t xml:space="preserve"> referenčním i </w:t>
      </w:r>
      <w:r w:rsidRPr="00CC35E4">
        <w:rPr>
          <w:rFonts w:ascii="Arial" w:hAnsi="Arial" w:cs="Arial"/>
          <w:sz w:val="18"/>
          <w:szCs w:val="18"/>
        </w:rPr>
        <w:t xml:space="preserve">hodnoceném období a počet unikátních pojištěnců </w:t>
      </w:r>
      <w:r w:rsidR="00EA1819" w:rsidRPr="00CC35E4">
        <w:rPr>
          <w:rFonts w:ascii="Arial" w:hAnsi="Arial" w:cs="Arial"/>
          <w:sz w:val="18"/>
          <w:szCs w:val="18"/>
        </w:rPr>
        <w:t xml:space="preserve">Zdravotní pojišťovny </w:t>
      </w:r>
      <w:r w:rsidRPr="00CC35E4">
        <w:rPr>
          <w:rFonts w:ascii="Arial" w:hAnsi="Arial" w:cs="Arial"/>
          <w:sz w:val="18"/>
          <w:szCs w:val="18"/>
        </w:rPr>
        <w:t>v</w:t>
      </w:r>
      <w:r w:rsidR="00D85996" w:rsidRPr="00CC35E4">
        <w:rPr>
          <w:rFonts w:ascii="Arial" w:hAnsi="Arial" w:cs="Arial"/>
          <w:sz w:val="18"/>
          <w:szCs w:val="18"/>
        </w:rPr>
        <w:t xml:space="preserve"> referenčním i</w:t>
      </w:r>
      <w:r w:rsidRPr="00CC35E4">
        <w:rPr>
          <w:rFonts w:ascii="Arial" w:hAnsi="Arial" w:cs="Arial"/>
          <w:sz w:val="18"/>
          <w:szCs w:val="18"/>
        </w:rPr>
        <w:t xml:space="preserve"> hodnoceném období podle </w:t>
      </w:r>
      <w:r w:rsidR="00EA1819" w:rsidRPr="00CC35E4">
        <w:rPr>
          <w:rFonts w:ascii="Arial" w:hAnsi="Arial" w:cs="Arial"/>
          <w:sz w:val="18"/>
          <w:szCs w:val="18"/>
        </w:rPr>
        <w:t xml:space="preserve">odst.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.1 a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.2 </w:t>
      </w:r>
      <w:r w:rsidR="00EA1819" w:rsidRPr="00CC35E4">
        <w:rPr>
          <w:rFonts w:ascii="Arial" w:hAnsi="Arial" w:cs="Arial"/>
          <w:sz w:val="18"/>
          <w:szCs w:val="18"/>
        </w:rPr>
        <w:t xml:space="preserve">tohoto článku </w:t>
      </w:r>
      <w:r w:rsidRPr="00CC35E4">
        <w:rPr>
          <w:rFonts w:ascii="Arial" w:hAnsi="Arial" w:cs="Arial"/>
          <w:sz w:val="18"/>
          <w:szCs w:val="18"/>
        </w:rPr>
        <w:t>se vypočtou z celkového počtu unikátních pojištěnců</w:t>
      </w:r>
      <w:r w:rsidR="00EA1819" w:rsidRPr="00CC35E4">
        <w:rPr>
          <w:rFonts w:ascii="Arial" w:hAnsi="Arial" w:cs="Arial"/>
          <w:sz w:val="18"/>
          <w:szCs w:val="18"/>
        </w:rPr>
        <w:t xml:space="preserve"> Zdravotní pojišťovny</w:t>
      </w:r>
      <w:r w:rsidRPr="00CC35E4">
        <w:rPr>
          <w:rFonts w:ascii="Arial" w:hAnsi="Arial" w:cs="Arial"/>
          <w:sz w:val="18"/>
          <w:szCs w:val="18"/>
        </w:rPr>
        <w:t>, do kterého se nezahrnou unikátní pojištěnci</w:t>
      </w:r>
      <w:r w:rsidR="00EA1819" w:rsidRPr="00CC35E4">
        <w:rPr>
          <w:rFonts w:ascii="Arial" w:hAnsi="Arial" w:cs="Arial"/>
          <w:sz w:val="18"/>
          <w:szCs w:val="18"/>
        </w:rPr>
        <w:t xml:space="preserve"> Zdravotní pojišťovny</w:t>
      </w:r>
      <w:r w:rsidRPr="00CC35E4">
        <w:rPr>
          <w:rFonts w:ascii="Arial" w:hAnsi="Arial" w:cs="Arial"/>
          <w:sz w:val="18"/>
          <w:szCs w:val="18"/>
        </w:rPr>
        <w:t>, na které byl vykázán pouze zdravotní výkon 09513</w:t>
      </w:r>
      <w:r w:rsidR="000921E6">
        <w:rPr>
          <w:rFonts w:ascii="Arial" w:hAnsi="Arial" w:cs="Arial"/>
          <w:sz w:val="18"/>
          <w:szCs w:val="18"/>
        </w:rPr>
        <w:t xml:space="preserve"> podle Seznamu zdravotních výkonů</w:t>
      </w:r>
      <w:r w:rsidRPr="00CC35E4">
        <w:rPr>
          <w:rFonts w:ascii="Arial" w:hAnsi="Arial" w:cs="Arial"/>
          <w:sz w:val="18"/>
          <w:szCs w:val="18"/>
        </w:rPr>
        <w:t>.</w:t>
      </w:r>
    </w:p>
    <w:p w14:paraId="31844204" w14:textId="51449916" w:rsidR="00DF754D" w:rsidRPr="00CC35E4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Regulační omezení podle </w:t>
      </w:r>
      <w:r w:rsidR="00EA1819" w:rsidRPr="00CC35E4">
        <w:rPr>
          <w:rFonts w:ascii="Arial" w:hAnsi="Arial" w:cs="Arial"/>
          <w:sz w:val="18"/>
          <w:szCs w:val="18"/>
        </w:rPr>
        <w:t xml:space="preserve">odst.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.1. </w:t>
      </w:r>
      <w:r w:rsidR="00EA1819" w:rsidRPr="00CC35E4">
        <w:rPr>
          <w:rFonts w:ascii="Arial" w:hAnsi="Arial" w:cs="Arial"/>
          <w:sz w:val="18"/>
          <w:szCs w:val="18"/>
        </w:rPr>
        <w:t xml:space="preserve">tohoto článku </w:t>
      </w:r>
      <w:r w:rsidRPr="00CC35E4">
        <w:rPr>
          <w:rFonts w:ascii="Arial" w:hAnsi="Arial" w:cs="Arial"/>
          <w:sz w:val="18"/>
          <w:szCs w:val="18"/>
        </w:rPr>
        <w:t xml:space="preserve">se nepoužije, pokud celková úhrada za veškeré léčivé přípravky a zdravotnické prostředky předepsané </w:t>
      </w:r>
      <w:r w:rsidR="00C31629">
        <w:rPr>
          <w:rFonts w:ascii="Arial" w:hAnsi="Arial" w:cs="Arial"/>
          <w:sz w:val="18"/>
          <w:szCs w:val="18"/>
        </w:rPr>
        <w:t>p</w:t>
      </w:r>
      <w:r w:rsidRPr="00CC35E4">
        <w:rPr>
          <w:rFonts w:ascii="Arial" w:hAnsi="Arial" w:cs="Arial"/>
          <w:sz w:val="18"/>
          <w:szCs w:val="18"/>
        </w:rPr>
        <w:t>oskytovateli poskytujícími specializovan</w:t>
      </w:r>
      <w:r w:rsidR="000921E6">
        <w:rPr>
          <w:rFonts w:ascii="Arial" w:hAnsi="Arial" w:cs="Arial"/>
          <w:sz w:val="18"/>
          <w:szCs w:val="18"/>
        </w:rPr>
        <w:t>é</w:t>
      </w:r>
      <w:r w:rsidRPr="00CC35E4">
        <w:rPr>
          <w:rFonts w:ascii="Arial" w:hAnsi="Arial" w:cs="Arial"/>
          <w:sz w:val="18"/>
          <w:szCs w:val="18"/>
        </w:rPr>
        <w:t xml:space="preserve"> ambulantní</w:t>
      </w:r>
      <w:r w:rsidR="000921E6">
        <w:rPr>
          <w:rFonts w:ascii="Arial" w:hAnsi="Arial" w:cs="Arial"/>
          <w:sz w:val="18"/>
          <w:szCs w:val="18"/>
        </w:rPr>
        <w:t xml:space="preserve"> hrazené</w:t>
      </w:r>
      <w:r w:rsidRPr="00CC35E4">
        <w:rPr>
          <w:rFonts w:ascii="Arial" w:hAnsi="Arial" w:cs="Arial"/>
          <w:sz w:val="18"/>
          <w:szCs w:val="18"/>
        </w:rPr>
        <w:t xml:space="preserve"> zdravotní </w:t>
      </w:r>
      <w:r w:rsidR="000921E6">
        <w:rPr>
          <w:rFonts w:ascii="Arial" w:hAnsi="Arial" w:cs="Arial"/>
          <w:sz w:val="18"/>
          <w:szCs w:val="18"/>
        </w:rPr>
        <w:t>služby</w:t>
      </w:r>
      <w:r w:rsidRPr="00CC35E4">
        <w:rPr>
          <w:rFonts w:ascii="Arial" w:hAnsi="Arial" w:cs="Arial"/>
          <w:sz w:val="18"/>
          <w:szCs w:val="18"/>
        </w:rPr>
        <w:t xml:space="preserve"> v roce </w:t>
      </w:r>
      <w:r w:rsidR="00E43658">
        <w:rPr>
          <w:rFonts w:ascii="Arial" w:hAnsi="Arial" w:cs="Arial"/>
          <w:sz w:val="18"/>
          <w:szCs w:val="18"/>
        </w:rPr>
        <w:t>2019</w:t>
      </w:r>
      <w:r w:rsidR="00E43658" w:rsidRPr="00CC35E4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 xml:space="preserve">nepřevýší předpokládanou výši úhrad na tento typ zdravotní péče na rok </w:t>
      </w:r>
      <w:r w:rsidR="00E43658">
        <w:rPr>
          <w:rFonts w:ascii="Arial" w:hAnsi="Arial" w:cs="Arial"/>
          <w:sz w:val="18"/>
          <w:szCs w:val="18"/>
        </w:rPr>
        <w:t>2019</w:t>
      </w:r>
      <w:r w:rsidR="00E43658" w:rsidRPr="00CC35E4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>vycházející ze zdravotně pojistného plánu Zdravotní pojišťovny.</w:t>
      </w:r>
    </w:p>
    <w:p w14:paraId="31844205" w14:textId="039C0FC7" w:rsidR="00DF754D" w:rsidRPr="00CC35E4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Regulační omezení podle </w:t>
      </w:r>
      <w:r w:rsidR="00EA1819" w:rsidRPr="00CC35E4">
        <w:rPr>
          <w:rFonts w:ascii="Arial" w:hAnsi="Arial" w:cs="Arial"/>
          <w:sz w:val="18"/>
          <w:szCs w:val="18"/>
        </w:rPr>
        <w:t xml:space="preserve">odst.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>.2.</w:t>
      </w:r>
      <w:r w:rsidR="00EA1819" w:rsidRPr="00CC35E4">
        <w:rPr>
          <w:rFonts w:ascii="Arial" w:hAnsi="Arial" w:cs="Arial"/>
          <w:sz w:val="18"/>
          <w:szCs w:val="18"/>
        </w:rPr>
        <w:t xml:space="preserve"> tohoto článku</w:t>
      </w:r>
      <w:r w:rsidRPr="00CC35E4">
        <w:rPr>
          <w:rFonts w:ascii="Arial" w:hAnsi="Arial" w:cs="Arial"/>
          <w:sz w:val="18"/>
          <w:szCs w:val="18"/>
        </w:rPr>
        <w:t xml:space="preserve"> se nepoužije, pokud celková úhrada za vyžádané služby ve </w:t>
      </w:r>
      <w:r w:rsidR="00C31629">
        <w:rPr>
          <w:rFonts w:ascii="Arial" w:hAnsi="Arial" w:cs="Arial"/>
          <w:sz w:val="18"/>
          <w:szCs w:val="18"/>
        </w:rPr>
        <w:t>V</w:t>
      </w:r>
      <w:r w:rsidRPr="00CC35E4">
        <w:rPr>
          <w:rFonts w:ascii="Arial" w:hAnsi="Arial" w:cs="Arial"/>
          <w:sz w:val="18"/>
          <w:szCs w:val="18"/>
        </w:rPr>
        <w:t xml:space="preserve">yjmenovaných odbornostech v roce </w:t>
      </w:r>
      <w:r w:rsidR="00E43658">
        <w:rPr>
          <w:rFonts w:ascii="Arial" w:hAnsi="Arial" w:cs="Arial"/>
          <w:sz w:val="18"/>
          <w:szCs w:val="18"/>
        </w:rPr>
        <w:t>2019</w:t>
      </w:r>
      <w:r w:rsidR="00E43658" w:rsidRPr="00CC35E4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 xml:space="preserve">nepřevýší předpokládanou výši úhrad na tento druh služeb na rok </w:t>
      </w:r>
      <w:r w:rsidR="00E43658">
        <w:rPr>
          <w:rFonts w:ascii="Arial" w:hAnsi="Arial" w:cs="Arial"/>
          <w:sz w:val="18"/>
          <w:szCs w:val="18"/>
        </w:rPr>
        <w:t>2019</w:t>
      </w:r>
      <w:r w:rsidR="00E43658" w:rsidRPr="00CC35E4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>vycházející ze zdravotně pojistného plánu Zdravotní pojišťovny.</w:t>
      </w:r>
    </w:p>
    <w:p w14:paraId="31844206" w14:textId="7B1C2611" w:rsidR="00DF754D" w:rsidRPr="00CC35E4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Pokud Poskytovatel vykáže větší průměrný objem předepsaných léčivých přípravků a zdravotnických prostředků, respektive vyžádané péče ve </w:t>
      </w:r>
      <w:r w:rsidR="00C31629">
        <w:rPr>
          <w:rFonts w:ascii="Arial" w:hAnsi="Arial" w:cs="Arial"/>
          <w:sz w:val="18"/>
          <w:szCs w:val="18"/>
        </w:rPr>
        <w:t>V</w:t>
      </w:r>
      <w:r w:rsidRPr="00CC35E4">
        <w:rPr>
          <w:rFonts w:ascii="Arial" w:hAnsi="Arial" w:cs="Arial"/>
          <w:sz w:val="18"/>
          <w:szCs w:val="18"/>
        </w:rPr>
        <w:t>yjmenovaných odbornostech, než je jeho referenční průměr na jednoho unikátního pojištěnce</w:t>
      </w:r>
      <w:r w:rsidR="00EA1819" w:rsidRPr="00CC35E4">
        <w:rPr>
          <w:rFonts w:ascii="Arial" w:hAnsi="Arial" w:cs="Arial"/>
          <w:sz w:val="18"/>
          <w:szCs w:val="18"/>
        </w:rPr>
        <w:t xml:space="preserve"> Zdravotní pojišťovny</w:t>
      </w:r>
      <w:r w:rsidR="00C31629">
        <w:rPr>
          <w:rFonts w:ascii="Arial" w:hAnsi="Arial" w:cs="Arial"/>
          <w:sz w:val="18"/>
          <w:szCs w:val="18"/>
        </w:rPr>
        <w:t>,</w:t>
      </w:r>
      <w:r w:rsidR="00EA1819" w:rsidRPr="00CC35E4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 xml:space="preserve">a Poskytovatel bezodkladně písemně po obdržení oznámení o výši regulační srážky prokáže, že k vykázání většího objemu předepsaných léčivých přípravků a zdravotnických prostředků, respektive vyžádané péče ve </w:t>
      </w:r>
      <w:r w:rsidR="00C31629">
        <w:rPr>
          <w:rFonts w:ascii="Arial" w:hAnsi="Arial" w:cs="Arial"/>
          <w:sz w:val="18"/>
          <w:szCs w:val="18"/>
        </w:rPr>
        <w:t>V</w:t>
      </w:r>
      <w:r w:rsidRPr="00CC35E4">
        <w:rPr>
          <w:rFonts w:ascii="Arial" w:hAnsi="Arial" w:cs="Arial"/>
          <w:sz w:val="18"/>
          <w:szCs w:val="18"/>
        </w:rPr>
        <w:t>yjmenovaných odbornostech, došlo z nepředvídatelných a neovlivnitelných důvodů, které Poskytovateli objektivně znemožnily dodržet smluvně dohodnutý objem preskripce, respektive vyžádané péče, a bude</w:t>
      </w:r>
      <w:r w:rsidR="001F55BA" w:rsidRPr="00CC35E4">
        <w:rPr>
          <w:rFonts w:ascii="Arial" w:hAnsi="Arial" w:cs="Arial"/>
          <w:sz w:val="18"/>
          <w:szCs w:val="18"/>
        </w:rPr>
        <w:t xml:space="preserve"> neprodleně</w:t>
      </w:r>
      <w:r w:rsidRPr="00CC35E4">
        <w:rPr>
          <w:rFonts w:ascii="Arial" w:hAnsi="Arial" w:cs="Arial"/>
          <w:sz w:val="18"/>
          <w:szCs w:val="18"/>
        </w:rPr>
        <w:t xml:space="preserve"> iniciovat jednání o navýšení referenčního </w:t>
      </w:r>
      <w:r w:rsidRPr="00CC35E4">
        <w:rPr>
          <w:rFonts w:ascii="Arial" w:hAnsi="Arial" w:cs="Arial"/>
          <w:sz w:val="18"/>
          <w:szCs w:val="18"/>
        </w:rPr>
        <w:lastRenderedPageBreak/>
        <w:t>průměru, dojde ze strany Zdravotní pojišťovny po odsouhlasení těchto skutečností k poměrnému navýšení referenčních průměrných hodnot, o čemž bude Poskytovatel písemně informován.</w:t>
      </w:r>
    </w:p>
    <w:p w14:paraId="31844207" w14:textId="08290167" w:rsidR="00DF754D" w:rsidRPr="00CC35E4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U Poskytovatele, který v referenčním období nebo v jeho části neexistoval, nebo neměl uzavřenu smlouvu se Zdravotní pojišťovnou, použije Zdravotní pojišťovna pro účely uplatnění regulačních omezení podle </w:t>
      </w:r>
      <w:r w:rsidR="00DD62E0" w:rsidRPr="00CC35E4">
        <w:rPr>
          <w:rFonts w:ascii="Arial" w:hAnsi="Arial" w:cs="Arial"/>
          <w:sz w:val="18"/>
          <w:szCs w:val="18"/>
        </w:rPr>
        <w:t xml:space="preserve">odst. </w:t>
      </w:r>
      <w:r w:rsidR="00627D5F">
        <w:rPr>
          <w:rFonts w:ascii="Arial" w:hAnsi="Arial" w:cs="Arial"/>
          <w:sz w:val="18"/>
          <w:szCs w:val="18"/>
        </w:rPr>
        <w:t>9</w:t>
      </w:r>
      <w:r w:rsidR="008E1F48" w:rsidRPr="00CC35E4">
        <w:rPr>
          <w:rFonts w:ascii="Arial" w:hAnsi="Arial" w:cs="Arial"/>
          <w:sz w:val="18"/>
          <w:szCs w:val="18"/>
        </w:rPr>
        <w:t>.1. a</w:t>
      </w:r>
      <w:r w:rsidR="00D339F6" w:rsidRPr="00CC35E4">
        <w:rPr>
          <w:rFonts w:ascii="Arial" w:hAnsi="Arial" w:cs="Arial"/>
          <w:sz w:val="18"/>
          <w:szCs w:val="18"/>
        </w:rPr>
        <w:t xml:space="preserve">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>.2.</w:t>
      </w:r>
      <w:r w:rsidR="00DD62E0" w:rsidRPr="00CC35E4">
        <w:rPr>
          <w:rFonts w:ascii="Arial" w:hAnsi="Arial" w:cs="Arial"/>
          <w:sz w:val="18"/>
          <w:szCs w:val="18"/>
        </w:rPr>
        <w:t xml:space="preserve"> tohoto člán</w:t>
      </w:r>
      <w:r w:rsidR="005165D8" w:rsidRPr="00CC35E4">
        <w:rPr>
          <w:rFonts w:ascii="Arial" w:hAnsi="Arial" w:cs="Arial"/>
          <w:sz w:val="18"/>
          <w:szCs w:val="18"/>
        </w:rPr>
        <w:t>k</w:t>
      </w:r>
      <w:r w:rsidR="00DD62E0" w:rsidRPr="00CC35E4">
        <w:rPr>
          <w:rFonts w:ascii="Arial" w:hAnsi="Arial" w:cs="Arial"/>
          <w:sz w:val="18"/>
          <w:szCs w:val="18"/>
        </w:rPr>
        <w:t>u</w:t>
      </w:r>
      <w:r w:rsidRPr="00CC35E4">
        <w:rPr>
          <w:rFonts w:ascii="Arial" w:hAnsi="Arial" w:cs="Arial"/>
          <w:sz w:val="18"/>
          <w:szCs w:val="18"/>
        </w:rPr>
        <w:t xml:space="preserve"> referenční hodnoty srovnatelných poskytovatelů.</w:t>
      </w:r>
    </w:p>
    <w:p w14:paraId="31844208" w14:textId="2227DF72" w:rsidR="00DF754D" w:rsidRPr="00CC35E4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Regulační omezení podle </w:t>
      </w:r>
      <w:r w:rsidR="00DD62E0" w:rsidRPr="00CC35E4">
        <w:rPr>
          <w:rFonts w:ascii="Arial" w:hAnsi="Arial" w:cs="Arial"/>
          <w:sz w:val="18"/>
          <w:szCs w:val="18"/>
        </w:rPr>
        <w:t xml:space="preserve">odst.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.1. a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>.2.</w:t>
      </w:r>
      <w:r w:rsidR="00DD62E0" w:rsidRPr="00CC35E4">
        <w:rPr>
          <w:rFonts w:ascii="Arial" w:hAnsi="Arial" w:cs="Arial"/>
          <w:sz w:val="18"/>
          <w:szCs w:val="18"/>
        </w:rPr>
        <w:t xml:space="preserve"> tohoto článku</w:t>
      </w:r>
      <w:r w:rsidRPr="00CC35E4">
        <w:rPr>
          <w:rFonts w:ascii="Arial" w:hAnsi="Arial" w:cs="Arial"/>
          <w:sz w:val="18"/>
          <w:szCs w:val="18"/>
        </w:rPr>
        <w:t xml:space="preserve"> se nepoužije, pokud Poskytovatel ošetřil v referenčním nebo hodnoceném období </w:t>
      </w:r>
      <w:r w:rsidR="008E3444">
        <w:rPr>
          <w:rFonts w:ascii="Arial" w:hAnsi="Arial" w:cs="Arial"/>
          <w:sz w:val="18"/>
          <w:szCs w:val="18"/>
        </w:rPr>
        <w:t>120</w:t>
      </w:r>
      <w:r w:rsidR="008E3444" w:rsidRPr="00CC35E4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 xml:space="preserve">a méně unikátních pojištěnců Zdravotní pojišťovny. </w:t>
      </w:r>
    </w:p>
    <w:p w14:paraId="31844209" w14:textId="36FCF3FC" w:rsidR="00EF3BC0" w:rsidRDefault="00DF754D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Zdravotní pojišťovna je oprávněna uplatnit regulační omezení podle </w:t>
      </w:r>
      <w:r w:rsidR="00DD62E0" w:rsidRPr="00CC35E4">
        <w:rPr>
          <w:rFonts w:ascii="Arial" w:hAnsi="Arial" w:cs="Arial"/>
          <w:sz w:val="18"/>
          <w:szCs w:val="18"/>
        </w:rPr>
        <w:t xml:space="preserve">odst.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 xml:space="preserve">.1. a </w:t>
      </w:r>
      <w:r w:rsidR="00627D5F">
        <w:rPr>
          <w:rFonts w:ascii="Arial" w:hAnsi="Arial" w:cs="Arial"/>
          <w:sz w:val="18"/>
          <w:szCs w:val="18"/>
        </w:rPr>
        <w:t>9</w:t>
      </w:r>
      <w:r w:rsidRPr="00CC35E4">
        <w:rPr>
          <w:rFonts w:ascii="Arial" w:hAnsi="Arial" w:cs="Arial"/>
          <w:sz w:val="18"/>
          <w:szCs w:val="18"/>
        </w:rPr>
        <w:t>.2.</w:t>
      </w:r>
      <w:r w:rsidR="00DD62E0" w:rsidRPr="00CC35E4">
        <w:rPr>
          <w:rFonts w:ascii="Arial" w:hAnsi="Arial" w:cs="Arial"/>
          <w:sz w:val="18"/>
          <w:szCs w:val="18"/>
        </w:rPr>
        <w:t xml:space="preserve"> tohoto článku</w:t>
      </w:r>
      <w:r w:rsidRPr="00CC35E4">
        <w:rPr>
          <w:rFonts w:ascii="Arial" w:hAnsi="Arial" w:cs="Arial"/>
          <w:sz w:val="18"/>
          <w:szCs w:val="18"/>
        </w:rPr>
        <w:t xml:space="preserve"> maximálně do výše odpovídající 15% objemu úhrady poskytnuté Poskytovateli za výkony snížené o objem úhrady za ZÚM a ZÚLP za rok </w:t>
      </w:r>
      <w:r w:rsidR="00E43658">
        <w:rPr>
          <w:rFonts w:ascii="Arial" w:hAnsi="Arial" w:cs="Arial"/>
          <w:sz w:val="18"/>
          <w:szCs w:val="18"/>
        </w:rPr>
        <w:t>2019</w:t>
      </w:r>
      <w:r w:rsidRPr="00CC35E4">
        <w:rPr>
          <w:rFonts w:ascii="Arial" w:hAnsi="Arial" w:cs="Arial"/>
          <w:sz w:val="18"/>
          <w:szCs w:val="18"/>
        </w:rPr>
        <w:t>.</w:t>
      </w:r>
    </w:p>
    <w:p w14:paraId="2E58DD15" w14:textId="698E368A" w:rsidR="00794D5E" w:rsidRDefault="00794D5E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Regulační omezení dle bodů 9.1. a 9.2. tohoto článku budou uplatněny souhrnně za veškeré předepsané léčivé přípravky a zdravotnické prostředky a veškerou vyžádanou péči ve vyjmenovaných odbornostech bez ohledu na odbornost</w:t>
      </w:r>
      <w:r w:rsidR="00757027">
        <w:rPr>
          <w:rFonts w:ascii="Arial" w:hAnsi="Arial" w:cs="Arial"/>
          <w:sz w:val="18"/>
          <w:szCs w:val="18"/>
        </w:rPr>
        <w:t xml:space="preserve"> předepisujícího poskytovatele zdravotních služeb</w:t>
      </w:r>
      <w:r>
        <w:rPr>
          <w:rFonts w:ascii="Arial" w:hAnsi="Arial" w:cs="Arial"/>
          <w:sz w:val="18"/>
          <w:szCs w:val="18"/>
        </w:rPr>
        <w:t>.</w:t>
      </w:r>
    </w:p>
    <w:p w14:paraId="0FCF4AEB" w14:textId="3955995F" w:rsidR="00F261F5" w:rsidRPr="00F261F5" w:rsidRDefault="00F261F5" w:rsidP="00DF754D">
      <w:pPr>
        <w:pStyle w:val="Textodstavce"/>
        <w:numPr>
          <w:ilvl w:val="1"/>
          <w:numId w:val="6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F261F5">
        <w:rPr>
          <w:rFonts w:ascii="Arial" w:eastAsia="Arial" w:hAnsi="Arial" w:cs="Arial"/>
          <w:sz w:val="18"/>
          <w:szCs w:val="18"/>
        </w:rPr>
        <w:t xml:space="preserve">Regulace uvedená v bodě 9.1. tohoto článku Dodatku se neuplatní nebo se uplatní pouze z části v případě, že Poskytovatel průkazně ve více než 50% případů předepisuje léčivé přípravky uvedené na pozitivním listu Zdravotní pojišťonvy, respektive </w:t>
      </w:r>
      <w:r w:rsidRPr="00F261F5">
        <w:rPr>
          <w:rFonts w:ascii="Arial" w:eastAsia="Arial" w:hAnsi="Arial" w:cs="Arial"/>
          <w:bCs/>
          <w:sz w:val="18"/>
          <w:szCs w:val="18"/>
        </w:rPr>
        <w:t>Svazu zdravotních pojišťoven České republiky (ve zkratce "SZP ČR")</w:t>
      </w:r>
      <w:r w:rsidRPr="00F261F5">
        <w:rPr>
          <w:rFonts w:ascii="Arial" w:eastAsia="Arial" w:hAnsi="Arial" w:cs="Arial"/>
          <w:sz w:val="18"/>
          <w:szCs w:val="18"/>
        </w:rPr>
        <w:t>.</w:t>
      </w:r>
    </w:p>
    <w:p w14:paraId="31844214" w14:textId="77777777" w:rsidR="007C5836" w:rsidRPr="00CC35E4" w:rsidRDefault="007C5836" w:rsidP="007C5836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  <w:highlight w:val="cyan"/>
        </w:rPr>
        <w:t>If uhrada = 6 then</w:t>
      </w:r>
    </w:p>
    <w:p w14:paraId="31844215" w14:textId="383AE770" w:rsidR="007C5836" w:rsidRPr="00EF3BC0" w:rsidRDefault="002E66F6">
      <w:pPr>
        <w:pStyle w:val="Textodstavce"/>
        <w:numPr>
          <w:ilvl w:val="0"/>
          <w:numId w:val="10"/>
        </w:numPr>
        <w:tabs>
          <w:tab w:val="left" w:pos="1418"/>
        </w:tabs>
        <w:spacing w:before="0" w:after="0"/>
        <w:rPr>
          <w:rFonts w:ascii="Arial" w:hAnsi="Arial" w:cs="Arial"/>
          <w:sz w:val="17"/>
          <w:szCs w:val="17"/>
        </w:rPr>
      </w:pPr>
      <w:r w:rsidRPr="00CC35E4">
        <w:rPr>
          <w:rFonts w:ascii="Arial" w:hAnsi="Arial" w:cs="Arial"/>
          <w:sz w:val="18"/>
          <w:szCs w:val="18"/>
        </w:rPr>
        <w:t xml:space="preserve">Zdravotní </w:t>
      </w:r>
      <w:r w:rsidR="008E1F48" w:rsidRPr="00CC35E4">
        <w:rPr>
          <w:rFonts w:ascii="Arial" w:hAnsi="Arial" w:cs="Arial"/>
          <w:sz w:val="18"/>
          <w:szCs w:val="18"/>
        </w:rPr>
        <w:t xml:space="preserve">služby </w:t>
      </w:r>
      <w:r w:rsidR="0044352B">
        <w:rPr>
          <w:rFonts w:ascii="Arial" w:hAnsi="Arial" w:cs="Arial"/>
          <w:sz w:val="18"/>
          <w:szCs w:val="18"/>
        </w:rPr>
        <w:t>vykázané</w:t>
      </w:r>
      <w:r w:rsidR="0044352B" w:rsidRPr="00CC35E4">
        <w:rPr>
          <w:rFonts w:ascii="Arial" w:hAnsi="Arial" w:cs="Arial"/>
          <w:sz w:val="18"/>
          <w:szCs w:val="18"/>
        </w:rPr>
        <w:t xml:space="preserve"> </w:t>
      </w:r>
      <w:r w:rsidR="008E1F48" w:rsidRPr="00CC35E4">
        <w:rPr>
          <w:rFonts w:ascii="Arial" w:hAnsi="Arial" w:cs="Arial"/>
          <w:sz w:val="18"/>
          <w:szCs w:val="18"/>
        </w:rPr>
        <w:t>Poskytovatelem</w:t>
      </w:r>
      <w:r w:rsidR="008E1F48" w:rsidRPr="00CC35E4">
        <w:rPr>
          <w:rFonts w:ascii="Arial" w:hAnsi="Arial"/>
          <w:sz w:val="18"/>
          <w:szCs w:val="18"/>
        </w:rPr>
        <w:t xml:space="preserve"> budou hrazeny maximální měsíční předběžnou úhradou. V případě, že </w:t>
      </w:r>
      <w:r w:rsidR="008E1F48" w:rsidRPr="00CC35E4">
        <w:rPr>
          <w:rFonts w:ascii="Arial" w:hAnsi="Arial" w:cs="Arial"/>
          <w:sz w:val="18"/>
          <w:szCs w:val="18"/>
        </w:rPr>
        <w:t xml:space="preserve">Poskytovatel </w:t>
      </w:r>
      <w:r w:rsidR="008E1F48" w:rsidRPr="00CC35E4">
        <w:rPr>
          <w:rFonts w:ascii="Arial" w:hAnsi="Arial"/>
          <w:sz w:val="18"/>
          <w:szCs w:val="18"/>
        </w:rPr>
        <w:t xml:space="preserve">v daném měsíci </w:t>
      </w:r>
      <w:r w:rsidR="0044352B">
        <w:rPr>
          <w:rFonts w:ascii="Arial" w:hAnsi="Arial"/>
          <w:sz w:val="18"/>
          <w:szCs w:val="18"/>
        </w:rPr>
        <w:t xml:space="preserve">vykáže </w:t>
      </w:r>
      <w:r w:rsidR="008E1F48" w:rsidRPr="00CC35E4">
        <w:rPr>
          <w:rFonts w:ascii="Arial" w:hAnsi="Arial"/>
          <w:sz w:val="18"/>
          <w:szCs w:val="18"/>
        </w:rPr>
        <w:t xml:space="preserve">menší objem poskytnutých zdravotních služeb než </w:t>
      </w:r>
      <w:r w:rsidR="00AF3E6F">
        <w:rPr>
          <w:rFonts w:ascii="Arial" w:hAnsi="Arial"/>
          <w:sz w:val="18"/>
          <w:szCs w:val="18"/>
        </w:rPr>
        <w:t>jaký odpovídá výši</w:t>
      </w:r>
      <w:r w:rsidR="008E1F48" w:rsidRPr="00CC35E4">
        <w:rPr>
          <w:rFonts w:ascii="Arial" w:hAnsi="Arial"/>
          <w:sz w:val="18"/>
          <w:szCs w:val="18"/>
        </w:rPr>
        <w:t xml:space="preserve"> maximální měsíční předběžné úhrady, bude </w:t>
      </w:r>
      <w:r w:rsidR="008E1F48" w:rsidRPr="00CC35E4">
        <w:rPr>
          <w:rFonts w:ascii="Arial" w:hAnsi="Arial" w:cs="Arial"/>
          <w:sz w:val="18"/>
          <w:szCs w:val="18"/>
        </w:rPr>
        <w:t xml:space="preserve">Poskytovateli </w:t>
      </w:r>
      <w:r w:rsidR="008E1F48" w:rsidRPr="00CC35E4">
        <w:rPr>
          <w:rFonts w:ascii="Arial" w:hAnsi="Arial"/>
          <w:sz w:val="18"/>
          <w:szCs w:val="18"/>
        </w:rPr>
        <w:t>v daném měsíci zaplaceno výkonovým způsobem podle Seznamu zdravotních výkonů tak, aby Zdravotní pojišťovna</w:t>
      </w:r>
      <w:r w:rsidR="008E1F48" w:rsidRPr="005F4DB4">
        <w:rPr>
          <w:rFonts w:ascii="Arial" w:hAnsi="Arial"/>
          <w:sz w:val="18"/>
          <w:szCs w:val="18"/>
        </w:rPr>
        <w:t xml:space="preserve"> minimalizovala dodatečné srážky. V případě, že </w:t>
      </w:r>
      <w:r w:rsidR="008E1F48" w:rsidRPr="005F4DB4">
        <w:rPr>
          <w:rFonts w:ascii="Arial" w:hAnsi="Arial" w:cs="Arial"/>
          <w:sz w:val="18"/>
          <w:szCs w:val="18"/>
        </w:rPr>
        <w:t xml:space="preserve">Poskytovatel </w:t>
      </w:r>
      <w:r w:rsidR="008E1F48" w:rsidRPr="005F4DB4">
        <w:rPr>
          <w:rFonts w:ascii="Arial" w:hAnsi="Arial"/>
          <w:sz w:val="18"/>
          <w:szCs w:val="18"/>
        </w:rPr>
        <w:t xml:space="preserve">v dalším měsíci </w:t>
      </w:r>
      <w:r w:rsidR="0044352B">
        <w:rPr>
          <w:rFonts w:ascii="Arial" w:hAnsi="Arial"/>
          <w:sz w:val="18"/>
          <w:szCs w:val="18"/>
        </w:rPr>
        <w:t>vykáže</w:t>
      </w:r>
      <w:r w:rsidR="0044352B" w:rsidRPr="005F4DB4">
        <w:rPr>
          <w:rFonts w:ascii="Arial" w:hAnsi="Arial"/>
          <w:sz w:val="18"/>
          <w:szCs w:val="18"/>
        </w:rPr>
        <w:t xml:space="preserve"> </w:t>
      </w:r>
      <w:r w:rsidR="008E1F48" w:rsidRPr="005F4DB4">
        <w:rPr>
          <w:rFonts w:ascii="Arial" w:hAnsi="Arial"/>
          <w:sz w:val="18"/>
          <w:szCs w:val="18"/>
        </w:rPr>
        <w:t xml:space="preserve">vyšší objem poskytnutých zdravotních služeb, bude </w:t>
      </w:r>
      <w:r w:rsidR="008E1F48">
        <w:rPr>
          <w:rFonts w:ascii="Arial" w:hAnsi="Arial"/>
          <w:sz w:val="18"/>
          <w:szCs w:val="18"/>
        </w:rPr>
        <w:t xml:space="preserve">výše </w:t>
      </w:r>
      <w:r w:rsidR="008E1F48" w:rsidRPr="005F4DB4">
        <w:rPr>
          <w:rFonts w:ascii="Arial" w:hAnsi="Arial"/>
          <w:sz w:val="18"/>
          <w:szCs w:val="18"/>
        </w:rPr>
        <w:t>maximální měsíční předběžn</w:t>
      </w:r>
      <w:r w:rsidR="008E1F48">
        <w:rPr>
          <w:rFonts w:ascii="Arial" w:hAnsi="Arial"/>
          <w:sz w:val="18"/>
          <w:szCs w:val="18"/>
        </w:rPr>
        <w:t>é</w:t>
      </w:r>
      <w:r w:rsidR="008E1F48" w:rsidRPr="005F4DB4">
        <w:rPr>
          <w:rFonts w:ascii="Arial" w:hAnsi="Arial"/>
          <w:sz w:val="18"/>
          <w:szCs w:val="18"/>
        </w:rPr>
        <w:t xml:space="preserve"> úhrad</w:t>
      </w:r>
      <w:r w:rsidR="008E1F48">
        <w:rPr>
          <w:rFonts w:ascii="Arial" w:hAnsi="Arial"/>
          <w:sz w:val="18"/>
          <w:szCs w:val="18"/>
        </w:rPr>
        <w:t>y</w:t>
      </w:r>
      <w:r w:rsidR="008E1F48" w:rsidRPr="005F4DB4">
        <w:rPr>
          <w:rFonts w:ascii="Arial" w:hAnsi="Arial"/>
          <w:sz w:val="18"/>
          <w:szCs w:val="18"/>
        </w:rPr>
        <w:t xml:space="preserve"> navýšena o nedočerpanou výši maximální měsíční předběžné úhrady z předchozí</w:t>
      </w:r>
      <w:r w:rsidR="008E1F48">
        <w:rPr>
          <w:rFonts w:ascii="Arial" w:hAnsi="Arial"/>
          <w:sz w:val="18"/>
          <w:szCs w:val="18"/>
        </w:rPr>
        <w:t>ch</w:t>
      </w:r>
      <w:r w:rsidR="008E1F48" w:rsidRPr="005F4DB4">
        <w:rPr>
          <w:rFonts w:ascii="Arial" w:hAnsi="Arial"/>
          <w:sz w:val="18"/>
          <w:szCs w:val="18"/>
        </w:rPr>
        <w:t xml:space="preserve"> měsíc</w:t>
      </w:r>
      <w:r w:rsidR="008E1F48">
        <w:rPr>
          <w:rFonts w:ascii="Arial" w:hAnsi="Arial"/>
          <w:sz w:val="18"/>
          <w:szCs w:val="18"/>
        </w:rPr>
        <w:t>ů.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1675"/>
      </w:tblGrid>
      <w:tr w:rsidR="00964604" w:rsidRPr="005303B0" w14:paraId="31844218" w14:textId="77777777" w:rsidTr="005303B0">
        <w:tc>
          <w:tcPr>
            <w:tcW w:w="4628" w:type="dxa"/>
          </w:tcPr>
          <w:p w14:paraId="31844216" w14:textId="65058723" w:rsidR="00964604" w:rsidRPr="005303B0" w:rsidRDefault="00964604">
            <w:pPr>
              <w:pStyle w:val="Zkladntext3"/>
              <w:spacing w:before="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3B0">
              <w:rPr>
                <w:rFonts w:ascii="Arial" w:hAnsi="Arial" w:cs="Arial"/>
                <w:b/>
                <w:sz w:val="18"/>
                <w:szCs w:val="18"/>
              </w:rPr>
              <w:t xml:space="preserve">Maximální měsíční </w:t>
            </w:r>
            <w:r w:rsidR="007D4624" w:rsidRPr="005303B0">
              <w:rPr>
                <w:rFonts w:ascii="Arial" w:hAnsi="Arial" w:cs="Arial"/>
                <w:b/>
                <w:sz w:val="18"/>
                <w:szCs w:val="18"/>
              </w:rPr>
              <w:t>předběžná úhrada</w:t>
            </w:r>
            <w:r w:rsidRPr="005303B0">
              <w:rPr>
                <w:rFonts w:ascii="Arial" w:hAnsi="Arial" w:cs="Arial"/>
                <w:b/>
                <w:sz w:val="18"/>
                <w:szCs w:val="18"/>
              </w:rPr>
              <w:t xml:space="preserve"> pro</w:t>
            </w:r>
            <w:r w:rsidR="00A6658D" w:rsidRPr="005303B0">
              <w:rPr>
                <w:rFonts w:ascii="Arial" w:hAnsi="Arial" w:cs="Arial"/>
                <w:b/>
                <w:sz w:val="18"/>
                <w:szCs w:val="18"/>
              </w:rPr>
              <w:t xml:space="preserve"> rok </w:t>
            </w:r>
            <w:r w:rsidR="00E4365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675" w:type="dxa"/>
          </w:tcPr>
          <w:p w14:paraId="31844217" w14:textId="77777777" w:rsidR="00964604" w:rsidRPr="005303B0" w:rsidRDefault="00F2755D" w:rsidP="00964604">
            <w:pPr>
              <w:pStyle w:val="Zkladntext3"/>
              <w:spacing w:before="20"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03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03B0">
              <w:rPr>
                <w:rFonts w:ascii="Arial" w:hAnsi="Arial" w:cs="Arial"/>
                <w:b/>
                <w:sz w:val="18"/>
                <w:szCs w:val="18"/>
                <w:highlight w:val="cyan"/>
              </w:rPr>
              <w:t>limit</w:t>
            </w:r>
            <w:r w:rsidRPr="005303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4604" w:rsidRPr="005303B0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14:paraId="31844219" w14:textId="77777777" w:rsidR="00B331CE" w:rsidRPr="00CB713B" w:rsidRDefault="00B331CE" w:rsidP="00B331CE">
      <w:pPr>
        <w:pStyle w:val="Zkladntext"/>
        <w:ind w:left="180"/>
        <w:rPr>
          <w:rFonts w:ascii="Arial" w:hAnsi="Arial" w:cs="Arial"/>
          <w:i/>
          <w:sz w:val="15"/>
          <w:szCs w:val="15"/>
        </w:rPr>
      </w:pPr>
      <w:r w:rsidRPr="00CB713B">
        <w:rPr>
          <w:rFonts w:ascii="Arial" w:hAnsi="Arial" w:cs="Arial"/>
          <w:i/>
          <w:sz w:val="15"/>
          <w:szCs w:val="15"/>
        </w:rPr>
        <w:t xml:space="preserve">    /* Pokud není vyplněna hodnota, bude Poskytovateli předběžně hrazeno výkonově podle Seznamu zdravotních výkonů.</w:t>
      </w:r>
    </w:p>
    <w:p w14:paraId="3184421A" w14:textId="77777777" w:rsidR="007C5836" w:rsidRPr="00EF3BC0" w:rsidRDefault="007C5836" w:rsidP="007C5836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17"/>
          <w:szCs w:val="17"/>
        </w:rPr>
      </w:pPr>
      <w:r w:rsidRPr="00EF3BC0">
        <w:rPr>
          <w:rFonts w:ascii="Arial" w:hAnsi="Arial" w:cs="Arial"/>
          <w:sz w:val="17"/>
          <w:szCs w:val="17"/>
          <w:highlight w:val="cyan"/>
        </w:rPr>
        <w:t>If uhrada = 3 then</w:t>
      </w:r>
    </w:p>
    <w:p w14:paraId="3184421B" w14:textId="22F9A357" w:rsidR="00E374D8" w:rsidRPr="009F0453" w:rsidRDefault="00E374D8">
      <w:pPr>
        <w:pStyle w:val="Textodstavce"/>
        <w:numPr>
          <w:ilvl w:val="0"/>
          <w:numId w:val="20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9F0453">
        <w:rPr>
          <w:rFonts w:ascii="Arial" w:hAnsi="Arial" w:cs="Arial"/>
          <w:sz w:val="18"/>
          <w:szCs w:val="18"/>
        </w:rPr>
        <w:t xml:space="preserve">Protože </w:t>
      </w:r>
      <w:r w:rsidR="008E1F48" w:rsidRPr="009F0453">
        <w:rPr>
          <w:rFonts w:ascii="Arial" w:hAnsi="Arial" w:cs="Arial"/>
          <w:sz w:val="18"/>
          <w:szCs w:val="18"/>
        </w:rPr>
        <w:t xml:space="preserve">uplatňovaný způsob úhrady neumožňuje průběžné zúčtování, bude Zdravotní pojišťovna hradit </w:t>
      </w:r>
      <w:r w:rsidR="0044352B" w:rsidRPr="009F0453">
        <w:rPr>
          <w:rFonts w:ascii="Arial" w:hAnsi="Arial" w:cs="Arial"/>
          <w:sz w:val="18"/>
          <w:szCs w:val="18"/>
        </w:rPr>
        <w:t xml:space="preserve">vykázané </w:t>
      </w:r>
      <w:r w:rsidR="008E1F48" w:rsidRPr="009F0453">
        <w:rPr>
          <w:rFonts w:ascii="Arial" w:hAnsi="Arial" w:cs="Arial"/>
          <w:sz w:val="18"/>
          <w:szCs w:val="18"/>
        </w:rPr>
        <w:t>zdravotní služby Poskytovateli předběžnou úhradou na jednoho ošetřeného unikátního pojištěnce</w:t>
      </w:r>
      <w:r w:rsidR="00DD62E0" w:rsidRPr="009F0453">
        <w:rPr>
          <w:rFonts w:ascii="Arial" w:hAnsi="Arial" w:cs="Arial"/>
          <w:sz w:val="18"/>
          <w:szCs w:val="18"/>
        </w:rPr>
        <w:t xml:space="preserve"> Zdravotní pojišťovny</w:t>
      </w:r>
      <w:r w:rsidRPr="009F0453">
        <w:rPr>
          <w:rFonts w:ascii="Arial" w:hAnsi="Arial" w:cs="Arial"/>
          <w:sz w:val="18"/>
          <w:szCs w:val="18"/>
        </w:rPr>
        <w:t>.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1"/>
        <w:gridCol w:w="1869"/>
      </w:tblGrid>
      <w:tr w:rsidR="00130336" w:rsidRPr="005303B0" w14:paraId="3184421E" w14:textId="77777777" w:rsidTr="008E1F48">
        <w:trPr>
          <w:trHeight w:val="227"/>
        </w:trPr>
        <w:tc>
          <w:tcPr>
            <w:tcW w:w="8571" w:type="dxa"/>
            <w:vAlign w:val="center"/>
          </w:tcPr>
          <w:p w14:paraId="3184421C" w14:textId="201E37A3" w:rsidR="00130336" w:rsidRPr="005303B0" w:rsidRDefault="00130336">
            <w:pPr>
              <w:pStyle w:val="Zkladn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303B0">
              <w:rPr>
                <w:rFonts w:ascii="Arial" w:hAnsi="Arial" w:cs="Arial"/>
                <w:b/>
                <w:sz w:val="18"/>
                <w:szCs w:val="18"/>
              </w:rPr>
              <w:t xml:space="preserve">Předběžná úhrada Zdravotní pojišťovny na jednoho </w:t>
            </w:r>
            <w:r w:rsidR="00250F2B" w:rsidRPr="005303B0">
              <w:rPr>
                <w:rFonts w:ascii="Arial" w:hAnsi="Arial" w:cs="Arial"/>
                <w:b/>
                <w:sz w:val="18"/>
                <w:szCs w:val="18"/>
              </w:rPr>
              <w:t xml:space="preserve">unikátního </w:t>
            </w:r>
            <w:r w:rsidRPr="005303B0">
              <w:rPr>
                <w:rFonts w:ascii="Arial" w:hAnsi="Arial" w:cs="Arial"/>
                <w:b/>
                <w:sz w:val="18"/>
                <w:szCs w:val="18"/>
              </w:rPr>
              <w:t xml:space="preserve">ošetřeného pojištěnce </w:t>
            </w:r>
            <w:r w:rsidR="00DD62E0" w:rsidRPr="005303B0">
              <w:rPr>
                <w:rFonts w:ascii="Arial" w:hAnsi="Arial" w:cs="Arial"/>
                <w:sz w:val="18"/>
                <w:szCs w:val="18"/>
              </w:rPr>
              <w:t xml:space="preserve">Zdravotní pojišťovny </w:t>
            </w:r>
            <w:r w:rsidR="00A6658D" w:rsidRPr="005303B0">
              <w:rPr>
                <w:rFonts w:ascii="Arial" w:hAnsi="Arial" w:cs="Arial"/>
                <w:b/>
                <w:sz w:val="18"/>
                <w:szCs w:val="18"/>
              </w:rPr>
              <w:t xml:space="preserve">pro rok </w:t>
            </w:r>
            <w:r w:rsidR="00E4365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869" w:type="dxa"/>
            <w:vAlign w:val="center"/>
          </w:tcPr>
          <w:p w14:paraId="3184421D" w14:textId="77777777" w:rsidR="00130336" w:rsidRPr="005303B0" w:rsidRDefault="00F2755D" w:rsidP="00EB79C0">
            <w:pPr>
              <w:pStyle w:val="Zkladntex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03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03B0">
              <w:rPr>
                <w:rFonts w:ascii="Arial" w:hAnsi="Arial" w:cs="Arial"/>
                <w:b/>
                <w:sz w:val="18"/>
                <w:szCs w:val="18"/>
                <w:highlight w:val="cyan"/>
              </w:rPr>
              <w:t>limit</w:t>
            </w:r>
            <w:r w:rsidRPr="005303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0336" w:rsidRPr="005303B0">
              <w:rPr>
                <w:rFonts w:ascii="Arial" w:hAnsi="Arial" w:cs="Arial"/>
                <w:b/>
                <w:sz w:val="18"/>
                <w:szCs w:val="18"/>
              </w:rPr>
              <w:t xml:space="preserve">,- Kč / 1 URČ  </w:t>
            </w:r>
          </w:p>
        </w:tc>
      </w:tr>
    </w:tbl>
    <w:p w14:paraId="3184421F" w14:textId="77777777" w:rsidR="00B331CE" w:rsidRPr="00CB713B" w:rsidRDefault="00E67087" w:rsidP="00B331CE">
      <w:pPr>
        <w:pStyle w:val="Zkladntext"/>
        <w:ind w:left="180"/>
        <w:rPr>
          <w:rFonts w:ascii="Arial" w:hAnsi="Arial" w:cs="Arial"/>
          <w:i/>
          <w:sz w:val="15"/>
          <w:szCs w:val="15"/>
        </w:rPr>
      </w:pPr>
      <w:r w:rsidRPr="00EF3BC0">
        <w:rPr>
          <w:rFonts w:ascii="Arial" w:hAnsi="Arial" w:cs="Arial"/>
          <w:sz w:val="17"/>
          <w:szCs w:val="17"/>
        </w:rPr>
        <w:tab/>
      </w:r>
      <w:r w:rsidR="00B331CE" w:rsidRPr="00CB713B">
        <w:rPr>
          <w:rFonts w:ascii="Arial" w:hAnsi="Arial" w:cs="Arial"/>
          <w:i/>
          <w:sz w:val="15"/>
          <w:szCs w:val="15"/>
        </w:rPr>
        <w:t>/* Pokud není vyplněna hodnota, bude Poskytovateli předběžně hrazeno výkonově podle Seznamu zdravotních výkonů.</w:t>
      </w:r>
    </w:p>
    <w:p w14:paraId="31844220" w14:textId="77777777" w:rsidR="00964604" w:rsidRPr="00EF3BC0" w:rsidRDefault="00964604" w:rsidP="00AE1DE6">
      <w:pPr>
        <w:pStyle w:val="Zkladntext"/>
        <w:rPr>
          <w:rFonts w:ascii="Arial" w:hAnsi="Arial" w:cs="Arial"/>
          <w:sz w:val="17"/>
          <w:szCs w:val="17"/>
        </w:rPr>
      </w:pPr>
      <w:r w:rsidRPr="00EF3BC0">
        <w:rPr>
          <w:rFonts w:ascii="Arial" w:hAnsi="Arial" w:cs="Arial"/>
          <w:sz w:val="17"/>
          <w:szCs w:val="17"/>
          <w:highlight w:val="cyan"/>
        </w:rPr>
        <w:t>End If</w:t>
      </w:r>
    </w:p>
    <w:p w14:paraId="273B1F86" w14:textId="45D8B2F1" w:rsidR="00F521B1" w:rsidRPr="00F521B1" w:rsidRDefault="00F521B1">
      <w:pPr>
        <w:pStyle w:val="Textodstavce"/>
        <w:numPr>
          <w:ilvl w:val="0"/>
          <w:numId w:val="21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dohodly, že pro účely ocenění uznané péče </w:t>
      </w:r>
      <w:r w:rsidR="00FA3A63">
        <w:rPr>
          <w:rFonts w:ascii="Arial" w:hAnsi="Arial" w:cs="Arial"/>
          <w:sz w:val="18"/>
          <w:szCs w:val="18"/>
        </w:rPr>
        <w:t xml:space="preserve">v předběžných úhradách </w:t>
      </w:r>
      <w:r>
        <w:rPr>
          <w:rFonts w:ascii="Arial" w:hAnsi="Arial" w:cs="Arial"/>
          <w:sz w:val="18"/>
          <w:szCs w:val="18"/>
        </w:rPr>
        <w:t>budou použity základní hodnoty bodu bez navýšení.</w:t>
      </w:r>
    </w:p>
    <w:p w14:paraId="435D3843" w14:textId="42492D99" w:rsidR="00926FB4" w:rsidRDefault="00926FB4">
      <w:pPr>
        <w:pStyle w:val="Textodstavce"/>
        <w:numPr>
          <w:ilvl w:val="0"/>
          <w:numId w:val="21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 rámci celkového finančního vyrovnání předběžné úhrady obdrží Poskytovatel za každou vystavenou a Zdravotní pojišťovnou uznanou položku na receptu v elektronické podobě v roce </w:t>
      </w:r>
      <w:r w:rsidR="00E43658">
        <w:rPr>
          <w:rFonts w:ascii="Arial" w:hAnsi="Arial"/>
          <w:sz w:val="18"/>
          <w:szCs w:val="18"/>
        </w:rPr>
        <w:t>2019</w:t>
      </w:r>
      <w:r>
        <w:rPr>
          <w:rFonts w:ascii="Arial" w:hAnsi="Arial"/>
          <w:sz w:val="18"/>
          <w:szCs w:val="18"/>
        </w:rPr>
        <w:t>, na základě které dojde k výdeji léčivých přípravků plně či částečně hrazených z veřejného zdravotního pojištění, úhradu ve výši 1,70 Kč.</w:t>
      </w:r>
    </w:p>
    <w:p w14:paraId="31844221" w14:textId="4629EA74" w:rsidR="00CB713B" w:rsidRPr="00CC35E4" w:rsidRDefault="008E1F48" w:rsidP="008E1F48">
      <w:pPr>
        <w:pStyle w:val="Textodstavce"/>
        <w:numPr>
          <w:ilvl w:val="0"/>
          <w:numId w:val="21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 xml:space="preserve">Smluvní strany se dohodly, že za specializované ambulantní zdravotní služby poskytnuté v roce </w:t>
      </w:r>
      <w:r w:rsidR="001D00B2">
        <w:rPr>
          <w:rFonts w:ascii="Arial" w:hAnsi="Arial" w:cs="Arial"/>
          <w:sz w:val="18"/>
          <w:szCs w:val="18"/>
        </w:rPr>
        <w:t>2019</w:t>
      </w:r>
      <w:r w:rsidR="001D00B2" w:rsidRPr="00CC35E4">
        <w:rPr>
          <w:rFonts w:ascii="Arial" w:hAnsi="Arial" w:cs="Arial"/>
          <w:sz w:val="18"/>
          <w:szCs w:val="18"/>
        </w:rPr>
        <w:t xml:space="preserve"> </w:t>
      </w:r>
      <w:r w:rsidRPr="00CC35E4">
        <w:rPr>
          <w:rFonts w:ascii="Arial" w:hAnsi="Arial" w:cs="Arial"/>
          <w:sz w:val="18"/>
          <w:szCs w:val="18"/>
        </w:rPr>
        <w:t xml:space="preserve">se považují veškeré hrazené zdravotní služby tohoto druhu poskytnuté </w:t>
      </w:r>
      <w:r w:rsidR="00997763">
        <w:rPr>
          <w:rFonts w:ascii="Arial" w:hAnsi="Arial" w:cs="Arial"/>
          <w:sz w:val="18"/>
          <w:szCs w:val="18"/>
        </w:rPr>
        <w:t xml:space="preserve">Poskytovatelem </w:t>
      </w:r>
      <w:r w:rsidRPr="00CC35E4">
        <w:rPr>
          <w:rFonts w:ascii="Arial" w:hAnsi="Arial" w:cs="Arial"/>
          <w:sz w:val="18"/>
          <w:szCs w:val="18"/>
        </w:rPr>
        <w:t xml:space="preserve">pojištěncům Zdravotní pojišťovny v období od </w:t>
      </w:r>
      <w:r w:rsidRPr="00CC35E4">
        <w:rPr>
          <w:rFonts w:ascii="Arial" w:hAnsi="Arial" w:cs="Arial"/>
          <w:color w:val="FF0000"/>
          <w:sz w:val="18"/>
          <w:szCs w:val="18"/>
          <w:highlight w:val="yellow"/>
        </w:rPr>
        <w:t>DATUM</w:t>
      </w:r>
      <w:r w:rsidRPr="00CC35E4">
        <w:rPr>
          <w:rFonts w:ascii="Arial" w:hAnsi="Arial" w:cs="Arial"/>
          <w:color w:val="0000CC"/>
          <w:sz w:val="18"/>
          <w:szCs w:val="18"/>
          <w:highlight w:val="yellow"/>
        </w:rPr>
        <w:t>(DATE)</w:t>
      </w:r>
      <w:r w:rsidRPr="00CC35E4">
        <w:rPr>
          <w:rFonts w:ascii="Arial" w:hAnsi="Arial" w:cs="Arial"/>
          <w:sz w:val="18"/>
          <w:szCs w:val="18"/>
        </w:rPr>
        <w:t xml:space="preserve"> do 31.12.</w:t>
      </w:r>
      <w:r w:rsidR="00E43658">
        <w:rPr>
          <w:rFonts w:ascii="Arial" w:hAnsi="Arial" w:cs="Arial"/>
          <w:sz w:val="18"/>
          <w:szCs w:val="18"/>
        </w:rPr>
        <w:t>2019</w:t>
      </w:r>
      <w:r w:rsidRPr="00CC35E4">
        <w:rPr>
          <w:rFonts w:ascii="Arial" w:hAnsi="Arial" w:cs="Arial"/>
          <w:sz w:val="18"/>
          <w:szCs w:val="18"/>
        </w:rPr>
        <w:t>, které Poskytovatel vykáže do 31.3.</w:t>
      </w:r>
      <w:r w:rsidR="00E43658">
        <w:rPr>
          <w:rFonts w:ascii="Arial" w:hAnsi="Arial" w:cs="Arial"/>
          <w:sz w:val="18"/>
          <w:szCs w:val="18"/>
        </w:rPr>
        <w:t>2020</w:t>
      </w:r>
      <w:r w:rsidR="00CB713B" w:rsidRPr="00CC35E4">
        <w:rPr>
          <w:rFonts w:ascii="Arial" w:hAnsi="Arial" w:cs="Arial"/>
          <w:sz w:val="18"/>
          <w:szCs w:val="18"/>
        </w:rPr>
        <w:t>.</w:t>
      </w:r>
    </w:p>
    <w:p w14:paraId="31844222" w14:textId="1BD7F201" w:rsidR="00CB713B" w:rsidRPr="00CC35E4" w:rsidRDefault="00CB713B" w:rsidP="00CB713B">
      <w:pPr>
        <w:pStyle w:val="Textodstavce"/>
        <w:numPr>
          <w:ilvl w:val="0"/>
          <w:numId w:val="21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>V </w:t>
      </w:r>
      <w:r w:rsidR="008E1F48" w:rsidRPr="00CC35E4">
        <w:rPr>
          <w:rFonts w:ascii="Arial" w:hAnsi="Arial" w:cs="Arial"/>
          <w:sz w:val="18"/>
          <w:szCs w:val="18"/>
        </w:rPr>
        <w:t xml:space="preserve">návaznosti na termíny pro </w:t>
      </w:r>
      <w:r w:rsidR="0044352B">
        <w:rPr>
          <w:rFonts w:ascii="Arial" w:hAnsi="Arial" w:cs="Arial"/>
          <w:sz w:val="18"/>
          <w:szCs w:val="18"/>
        </w:rPr>
        <w:t>vykázání</w:t>
      </w:r>
      <w:r w:rsidR="0044352B" w:rsidRPr="00CC35E4">
        <w:rPr>
          <w:rFonts w:ascii="Arial" w:hAnsi="Arial" w:cs="Arial"/>
          <w:sz w:val="18"/>
          <w:szCs w:val="18"/>
        </w:rPr>
        <w:t xml:space="preserve"> </w:t>
      </w:r>
      <w:r w:rsidR="008E1F48" w:rsidRPr="00CC35E4">
        <w:rPr>
          <w:rFonts w:ascii="Arial" w:hAnsi="Arial" w:cs="Arial"/>
          <w:sz w:val="18"/>
          <w:szCs w:val="18"/>
        </w:rPr>
        <w:t xml:space="preserve">zdravotních služeb uvedené v předchozím </w:t>
      </w:r>
      <w:r w:rsidR="007A0C3E">
        <w:rPr>
          <w:rFonts w:ascii="Arial" w:hAnsi="Arial" w:cs="Arial"/>
          <w:sz w:val="18"/>
          <w:szCs w:val="18"/>
        </w:rPr>
        <w:t>odstavci</w:t>
      </w:r>
      <w:r w:rsidR="008E1F48" w:rsidRPr="00CC35E4">
        <w:rPr>
          <w:rFonts w:ascii="Arial" w:hAnsi="Arial" w:cs="Arial"/>
          <w:sz w:val="18"/>
          <w:szCs w:val="18"/>
        </w:rPr>
        <w:t xml:space="preserve"> se Zdravotní pojišťovna zavazuje finančně vypořádat předběžné úhrady a maximální úhrady dle předchozích ustanovení za rok </w:t>
      </w:r>
      <w:r w:rsidR="00E43658">
        <w:rPr>
          <w:rFonts w:ascii="Arial" w:hAnsi="Arial" w:cs="Arial"/>
          <w:sz w:val="18"/>
          <w:szCs w:val="18"/>
        </w:rPr>
        <w:t>2019</w:t>
      </w:r>
      <w:r w:rsidR="00E43658" w:rsidRPr="00CC35E4">
        <w:rPr>
          <w:rFonts w:ascii="Arial" w:hAnsi="Arial" w:cs="Arial"/>
          <w:sz w:val="18"/>
          <w:szCs w:val="18"/>
        </w:rPr>
        <w:t xml:space="preserve"> </w:t>
      </w:r>
      <w:r w:rsidR="008E1F48" w:rsidRPr="00CC35E4">
        <w:rPr>
          <w:rFonts w:ascii="Arial" w:hAnsi="Arial" w:cs="Arial"/>
          <w:sz w:val="18"/>
          <w:szCs w:val="18"/>
        </w:rPr>
        <w:t>nejpozději do 1</w:t>
      </w:r>
      <w:r w:rsidR="003379B3">
        <w:rPr>
          <w:rFonts w:ascii="Arial" w:hAnsi="Arial" w:cs="Arial"/>
          <w:sz w:val="18"/>
          <w:szCs w:val="18"/>
        </w:rPr>
        <w:t>5</w:t>
      </w:r>
      <w:r w:rsidR="008E1F48" w:rsidRPr="00CC35E4">
        <w:rPr>
          <w:rFonts w:ascii="Arial" w:hAnsi="Arial" w:cs="Arial"/>
          <w:sz w:val="18"/>
          <w:szCs w:val="18"/>
        </w:rPr>
        <w:t xml:space="preserve">0 dnů po skončení roku </w:t>
      </w:r>
      <w:r w:rsidR="00E43658">
        <w:rPr>
          <w:rFonts w:ascii="Arial" w:hAnsi="Arial" w:cs="Arial"/>
          <w:sz w:val="18"/>
          <w:szCs w:val="18"/>
        </w:rPr>
        <w:t>2019</w:t>
      </w:r>
      <w:r w:rsidR="00E43658" w:rsidRPr="00CC35E4">
        <w:rPr>
          <w:rFonts w:ascii="Arial" w:hAnsi="Arial" w:cs="Arial"/>
          <w:sz w:val="18"/>
          <w:szCs w:val="18"/>
        </w:rPr>
        <w:t xml:space="preserve"> </w:t>
      </w:r>
      <w:r w:rsidR="008E1F48" w:rsidRPr="00CC35E4">
        <w:rPr>
          <w:rFonts w:ascii="Arial" w:hAnsi="Arial" w:cs="Arial"/>
          <w:sz w:val="18"/>
          <w:szCs w:val="18"/>
        </w:rPr>
        <w:t>s tím, že případné srážky započte proti dalším vyúčtováním předloženým Poskytovatelem</w:t>
      </w:r>
      <w:r w:rsidRPr="00CC35E4">
        <w:rPr>
          <w:rFonts w:ascii="Arial" w:hAnsi="Arial" w:cs="Arial"/>
          <w:sz w:val="18"/>
          <w:szCs w:val="18"/>
        </w:rPr>
        <w:t>.</w:t>
      </w:r>
    </w:p>
    <w:p w14:paraId="31844223" w14:textId="7B3FECE0" w:rsidR="00CB713B" w:rsidRDefault="00CB713B" w:rsidP="00CB713B">
      <w:pPr>
        <w:pStyle w:val="Textodstavce"/>
        <w:numPr>
          <w:ilvl w:val="0"/>
          <w:numId w:val="21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CC35E4">
        <w:rPr>
          <w:rFonts w:ascii="Arial" w:hAnsi="Arial" w:cs="Arial"/>
          <w:sz w:val="18"/>
          <w:szCs w:val="18"/>
        </w:rPr>
        <w:t>Poskytovatel</w:t>
      </w:r>
      <w:r w:rsidR="008E1F48" w:rsidRPr="00CC35E4">
        <w:rPr>
          <w:rFonts w:ascii="Arial" w:hAnsi="Arial"/>
          <w:sz w:val="18"/>
          <w:szCs w:val="18"/>
        </w:rPr>
        <w:t xml:space="preserve"> </w:t>
      </w:r>
      <w:r w:rsidR="008E1F48" w:rsidRPr="00CC35E4">
        <w:rPr>
          <w:rFonts w:ascii="Arial" w:hAnsi="Arial" w:cs="Arial"/>
          <w:sz w:val="18"/>
          <w:szCs w:val="18"/>
        </w:rPr>
        <w:t>se zavazuje, že vyúčtování za p</w:t>
      </w:r>
      <w:r w:rsidR="007A0C3E">
        <w:rPr>
          <w:rFonts w:ascii="Arial" w:hAnsi="Arial" w:cs="Arial"/>
          <w:sz w:val="18"/>
          <w:szCs w:val="18"/>
        </w:rPr>
        <w:t xml:space="preserve">oskytnuté zdravotní služby bude zasílat </w:t>
      </w:r>
      <w:r w:rsidR="008E1F48" w:rsidRPr="00CC35E4">
        <w:rPr>
          <w:rFonts w:ascii="Arial" w:hAnsi="Arial" w:cs="Arial"/>
          <w:sz w:val="18"/>
          <w:szCs w:val="18"/>
        </w:rPr>
        <w:t xml:space="preserve">Zdravotní pojišťovnou stanovenému místně příslušnému pracovišti Zdravotní pojišťovny. Nebude-li </w:t>
      </w:r>
      <w:r w:rsidR="007A0C3E">
        <w:rPr>
          <w:rFonts w:ascii="Arial" w:hAnsi="Arial" w:cs="Arial"/>
          <w:sz w:val="18"/>
          <w:szCs w:val="18"/>
        </w:rPr>
        <w:t xml:space="preserve">tato povinnost </w:t>
      </w:r>
      <w:r w:rsidR="008E1F48" w:rsidRPr="00CC35E4">
        <w:rPr>
          <w:rFonts w:ascii="Arial" w:hAnsi="Arial" w:cs="Arial"/>
          <w:sz w:val="18"/>
          <w:szCs w:val="18"/>
        </w:rPr>
        <w:t>ze strany Poskytovatele splněn</w:t>
      </w:r>
      <w:r w:rsidR="007A0C3E">
        <w:rPr>
          <w:rFonts w:ascii="Arial" w:hAnsi="Arial" w:cs="Arial"/>
          <w:sz w:val="18"/>
          <w:szCs w:val="18"/>
        </w:rPr>
        <w:t>a</w:t>
      </w:r>
      <w:r w:rsidR="008E1F48" w:rsidRPr="00CC35E4">
        <w:rPr>
          <w:rFonts w:ascii="Arial" w:hAnsi="Arial" w:cs="Arial"/>
          <w:sz w:val="18"/>
          <w:szCs w:val="18"/>
        </w:rPr>
        <w:t>, lhůta splatnosti, dohodnutá smluvními stranami, se prodlužuje o dobu nezbytnou k doručení vyúčtování příslušnému pracovišti Zdravotní pojišťovny</w:t>
      </w:r>
      <w:r w:rsidRPr="00CC35E4">
        <w:rPr>
          <w:rFonts w:ascii="Arial" w:hAnsi="Arial" w:cs="Arial"/>
          <w:sz w:val="18"/>
          <w:szCs w:val="18"/>
        </w:rPr>
        <w:t>.</w:t>
      </w:r>
    </w:p>
    <w:p w14:paraId="2E5CDA75" w14:textId="1BB45A54" w:rsidR="00E44C26" w:rsidRPr="00E44C26" w:rsidRDefault="00E44C26" w:rsidP="00CB713B">
      <w:pPr>
        <w:pStyle w:val="Textodstavce"/>
        <w:numPr>
          <w:ilvl w:val="0"/>
          <w:numId w:val="21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E44C26">
        <w:rPr>
          <w:rFonts w:ascii="Arial" w:hAnsi="Arial" w:cs="Arial"/>
          <w:sz w:val="18"/>
          <w:szCs w:val="18"/>
        </w:rPr>
        <w:t xml:space="preserve">V individuálních případech zvláštního zřetele hodných, kdy dojde k nárůstu poskytnutých hrazených služeb proti referenčnímu období z hlediska jejich celkového objemu nebo v průměru na jednoho ošetřeného pojištěnce, může Poskytovatel požádat Zdravotní pojišťovnu o navýšení úhrady. Žádost musí být písemná a musí obsahovat konkrétní objektivní důvody požadovaného navýšení úhrady. Zdravotní pojišťovna posoudí relevanci Poskytovatelem uvedených důvodů a uzná-li jeho žádost jako důvodnou, může nárůst poskytnutých hrazených služeb částečně nebo plně zohlednit a odpovídajícím způsobem následně upravit výslednou celkovou výši úhrady vypočtenou dle příslušných odstavců </w:t>
      </w:r>
      <w:r>
        <w:rPr>
          <w:rFonts w:ascii="Arial" w:hAnsi="Arial" w:cs="Arial"/>
          <w:sz w:val="18"/>
          <w:szCs w:val="18"/>
        </w:rPr>
        <w:t>tohoto článku</w:t>
      </w:r>
      <w:r w:rsidRPr="00E44C26">
        <w:rPr>
          <w:rFonts w:ascii="Arial" w:hAnsi="Arial" w:cs="Arial"/>
          <w:sz w:val="18"/>
          <w:szCs w:val="18"/>
        </w:rPr>
        <w:t>.</w:t>
      </w:r>
    </w:p>
    <w:p w14:paraId="31844224" w14:textId="77777777" w:rsidR="00CB713B" w:rsidRPr="00CB713B" w:rsidRDefault="00CB713B" w:rsidP="00CB713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360"/>
        <w:rPr>
          <w:rFonts w:ascii="Arial" w:hAnsi="Arial" w:cs="Arial"/>
          <w:sz w:val="17"/>
          <w:szCs w:val="17"/>
        </w:rPr>
      </w:pPr>
    </w:p>
    <w:p w14:paraId="7F5C77D6" w14:textId="77777777" w:rsidR="008E1F48" w:rsidRPr="007607C7" w:rsidRDefault="008E1F48" w:rsidP="008E1F48">
      <w:pPr>
        <w:pStyle w:val="Zkladntext"/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b/>
          <w:sz w:val="18"/>
          <w:szCs w:val="18"/>
        </w:rPr>
        <w:t>III.</w:t>
      </w:r>
    </w:p>
    <w:p w14:paraId="6D9232C5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Smlouvou ve smyslu tohoto Dodatku je dříve uzavřená příslušná Smlouva o poskytování a úhradě zdravotní péče, resp. příslušná Smlouva o poskytování a úhradě zdravotních služeb hrazených z veřejného zdravotního pojištění</w:t>
      </w:r>
      <w:r>
        <w:rPr>
          <w:rFonts w:ascii="Arial" w:hAnsi="Arial" w:cs="Arial"/>
          <w:sz w:val="18"/>
          <w:szCs w:val="18"/>
        </w:rPr>
        <w:t xml:space="preserve"> (dále jen „Smlouva“)</w:t>
      </w:r>
      <w:r w:rsidRPr="007607C7">
        <w:rPr>
          <w:rFonts w:ascii="Arial" w:hAnsi="Arial" w:cs="Arial"/>
          <w:sz w:val="18"/>
          <w:szCs w:val="18"/>
        </w:rPr>
        <w:t>.</w:t>
      </w:r>
    </w:p>
    <w:p w14:paraId="1CB2AC06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Poměry</w:t>
      </w:r>
      <w:r w:rsidRPr="007607C7">
        <w:rPr>
          <w:rFonts w:ascii="Arial" w:hAnsi="Arial" w:cs="Arial"/>
          <w:sz w:val="18"/>
          <w:szCs w:val="18"/>
        </w:rPr>
        <w:t xml:space="preserve">, které nejsou výslovně upraveny tímto Dodatkem, se řídí příslušnými ustanoveními platné Smlouvy. </w:t>
      </w:r>
    </w:p>
    <w:p w14:paraId="0D7E30C8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7607C7">
        <w:rPr>
          <w:rFonts w:ascii="Arial" w:hAnsi="Arial" w:cs="Arial"/>
          <w:color w:val="auto"/>
          <w:sz w:val="18"/>
          <w:szCs w:val="18"/>
        </w:rPr>
        <w:t>Tento Dodatek se stává nedílnou součástí platné Smlouvy.</w:t>
      </w:r>
    </w:p>
    <w:p w14:paraId="3D2230E3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7607C7">
        <w:rPr>
          <w:rFonts w:ascii="Arial" w:hAnsi="Arial" w:cs="Arial"/>
          <w:color w:val="auto"/>
          <w:sz w:val="18"/>
          <w:szCs w:val="18"/>
        </w:rPr>
        <w:t xml:space="preserve">Tento Dodatek nabývá platnosti dnem podpisu </w:t>
      </w:r>
      <w:r>
        <w:rPr>
          <w:rFonts w:ascii="Arial" w:hAnsi="Arial" w:cs="Arial"/>
          <w:color w:val="auto"/>
          <w:sz w:val="18"/>
          <w:szCs w:val="18"/>
        </w:rPr>
        <w:t xml:space="preserve">oběma smluvními stranami </w:t>
      </w:r>
      <w:r w:rsidRPr="007607C7">
        <w:rPr>
          <w:rFonts w:ascii="Arial" w:hAnsi="Arial" w:cs="Arial"/>
          <w:color w:val="auto"/>
          <w:sz w:val="18"/>
          <w:szCs w:val="18"/>
        </w:rPr>
        <w:t>a účinnost</w:t>
      </w:r>
      <w:r>
        <w:rPr>
          <w:rFonts w:ascii="Arial" w:hAnsi="Arial" w:cs="Arial"/>
          <w:color w:val="auto"/>
          <w:sz w:val="18"/>
          <w:szCs w:val="18"/>
        </w:rPr>
        <w:t>i</w:t>
      </w:r>
      <w:r w:rsidRPr="007607C7">
        <w:rPr>
          <w:rFonts w:ascii="Arial" w:hAnsi="Arial" w:cs="Arial"/>
          <w:color w:val="auto"/>
          <w:sz w:val="18"/>
          <w:szCs w:val="18"/>
        </w:rPr>
        <w:t xml:space="preserve"> dnem zveřejnění podle zákona </w:t>
      </w:r>
      <w:r>
        <w:rPr>
          <w:rFonts w:ascii="Arial" w:hAnsi="Arial" w:cs="Arial"/>
          <w:color w:val="auto"/>
          <w:sz w:val="18"/>
          <w:szCs w:val="18"/>
        </w:rPr>
        <w:t xml:space="preserve">č. 48/1997 Sb., </w:t>
      </w:r>
      <w:r w:rsidRPr="007607C7">
        <w:rPr>
          <w:rFonts w:ascii="Arial" w:hAnsi="Arial" w:cs="Arial"/>
          <w:color w:val="auto"/>
          <w:sz w:val="18"/>
          <w:szCs w:val="18"/>
        </w:rPr>
        <w:t>o veřejném zdravotním pojištění</w:t>
      </w:r>
      <w:r>
        <w:rPr>
          <w:rFonts w:ascii="Arial" w:hAnsi="Arial" w:cs="Arial"/>
          <w:color w:val="auto"/>
          <w:sz w:val="18"/>
          <w:szCs w:val="18"/>
        </w:rPr>
        <w:t xml:space="preserve"> a o změně a doplnění některých souvisejících zákonů</w:t>
      </w:r>
      <w:r w:rsidRPr="007607C7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3BA5233" w14:textId="466BC4F6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7607C7">
        <w:rPr>
          <w:rFonts w:ascii="Arial" w:hAnsi="Arial" w:cs="Arial"/>
          <w:color w:val="auto"/>
          <w:sz w:val="18"/>
          <w:szCs w:val="18"/>
        </w:rPr>
        <w:t xml:space="preserve">Smluvní strany se dohodly, že tento Dodatek, a zejména způsob úhrady, výše úhrady a regulační omezení úhrady sjednané v tomto Dodatku, se použijí pro období od </w:t>
      </w:r>
      <w:r w:rsidRPr="007607C7">
        <w:rPr>
          <w:rFonts w:ascii="Arial" w:hAnsi="Arial" w:cs="Arial"/>
          <w:color w:val="FF0000"/>
          <w:sz w:val="18"/>
          <w:szCs w:val="18"/>
          <w:highlight w:val="yellow"/>
        </w:rPr>
        <w:t>DATUM</w:t>
      </w:r>
      <w:r w:rsidRPr="007607C7">
        <w:rPr>
          <w:rFonts w:ascii="Arial" w:hAnsi="Arial" w:cs="Arial"/>
          <w:color w:val="0000CC"/>
          <w:sz w:val="18"/>
          <w:szCs w:val="18"/>
          <w:highlight w:val="yellow"/>
        </w:rPr>
        <w:t>(DATE)</w:t>
      </w:r>
      <w:r w:rsidRPr="007607C7">
        <w:rPr>
          <w:rFonts w:ascii="Arial" w:hAnsi="Arial" w:cs="Arial"/>
          <w:color w:val="auto"/>
          <w:sz w:val="18"/>
          <w:szCs w:val="18"/>
        </w:rPr>
        <w:t xml:space="preserve">  do 31.12.</w:t>
      </w:r>
      <w:r w:rsidR="00E43658">
        <w:rPr>
          <w:rFonts w:ascii="Arial" w:hAnsi="Arial" w:cs="Arial"/>
          <w:color w:val="auto"/>
          <w:sz w:val="18"/>
          <w:szCs w:val="18"/>
        </w:rPr>
        <w:t>2019</w:t>
      </w:r>
      <w:r w:rsidRPr="007607C7">
        <w:rPr>
          <w:rFonts w:ascii="Arial" w:hAnsi="Arial" w:cs="Arial"/>
          <w:color w:val="auto"/>
          <w:sz w:val="18"/>
          <w:szCs w:val="18"/>
        </w:rPr>
        <w:t>.</w:t>
      </w:r>
    </w:p>
    <w:p w14:paraId="7DF05148" w14:textId="77777777" w:rsidR="006901C0" w:rsidRPr="007607C7" w:rsidRDefault="006901C0" w:rsidP="006901C0">
      <w:pPr>
        <w:pStyle w:val="Odstavecseseznamem"/>
        <w:numPr>
          <w:ilvl w:val="0"/>
          <w:numId w:val="4"/>
        </w:numPr>
        <w:ind w:hanging="4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7607C7">
        <w:rPr>
          <w:rFonts w:ascii="Arial" w:hAnsi="Arial" w:cs="Arial"/>
          <w:bCs/>
          <w:sz w:val="18"/>
          <w:szCs w:val="18"/>
          <w:lang w:eastAsia="en-US"/>
        </w:rPr>
        <w:t xml:space="preserve">Smluvní strany berou na vědomí, že Smlouva včetně jejích příloh, změn a všech dodatků, z nichž vyplývá výše úhrady </w:t>
      </w:r>
      <w:r>
        <w:rPr>
          <w:rFonts w:ascii="Arial" w:hAnsi="Arial" w:cs="Arial"/>
          <w:bCs/>
          <w:sz w:val="18"/>
          <w:szCs w:val="18"/>
          <w:lang w:eastAsia="en-US"/>
        </w:rPr>
        <w:t>Z</w:t>
      </w:r>
      <w:r w:rsidRPr="007607C7">
        <w:rPr>
          <w:rFonts w:ascii="Arial" w:hAnsi="Arial" w:cs="Arial"/>
          <w:bCs/>
          <w:sz w:val="18"/>
          <w:szCs w:val="18"/>
          <w:lang w:eastAsia="en-US"/>
        </w:rPr>
        <w:t>dravotní pojišťovny Poskytovateli za poskytnuté hrazené služby nebo rozsah poskytovaných hrazených služeb,</w:t>
      </w:r>
      <w:r w:rsidRPr="007607C7" w:rsidDel="00ED3CFD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Pr="007607C7">
        <w:rPr>
          <w:rFonts w:ascii="Arial" w:hAnsi="Arial" w:cs="Arial"/>
          <w:bCs/>
          <w:sz w:val="18"/>
          <w:szCs w:val="18"/>
          <w:lang w:eastAsia="en-US"/>
        </w:rPr>
        <w:t xml:space="preserve">bude zveřejněna na základě zákonem uložené povinnosti Zdravotní pojišťovny. </w:t>
      </w:r>
    </w:p>
    <w:p w14:paraId="076B206F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sz w:val="18"/>
          <w:szCs w:val="18"/>
          <w:lang w:eastAsia="en-US"/>
        </w:rPr>
      </w:pPr>
      <w:r w:rsidRPr="007607C7">
        <w:rPr>
          <w:rFonts w:ascii="Arial" w:hAnsi="Arial" w:cs="Arial"/>
          <w:color w:val="auto"/>
          <w:sz w:val="18"/>
          <w:szCs w:val="18"/>
        </w:rPr>
        <w:t xml:space="preserve">Smluvní strany se dohodly, že v případě aktivované datové schránky může být doručování prostřednictvím datové schránky použito k závazným </w:t>
      </w:r>
      <w:r w:rsidRPr="007607C7">
        <w:rPr>
          <w:rFonts w:ascii="Arial" w:hAnsi="Arial" w:cs="Arial"/>
          <w:sz w:val="18"/>
          <w:szCs w:val="18"/>
        </w:rPr>
        <w:t>smluvním jednáním.</w:t>
      </w:r>
    </w:p>
    <w:p w14:paraId="33C7FDBE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b/>
          <w:bCs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Smluvní strany se dohodly, že písemnosti doručované v souvislosti s plněním Smlouvy se považují za doručené nejpozději desátým dnem po jejich uložení na poště, respektive po doručení do datové schránky v případě doručování písemností datovou schránkou.</w:t>
      </w:r>
    </w:p>
    <w:p w14:paraId="1A5E3D70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Případné nesrovnalosti vyplývající ze smluvního vztahu budou řešeny vzájemným jednáním. </w:t>
      </w:r>
    </w:p>
    <w:p w14:paraId="2C67BC3E" w14:textId="77777777" w:rsidR="006901C0" w:rsidRPr="007607C7" w:rsidRDefault="006901C0" w:rsidP="006901C0">
      <w:pPr>
        <w:pStyle w:val="Zkladntext"/>
        <w:numPr>
          <w:ilvl w:val="0"/>
          <w:numId w:val="4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Smluvní strany stvrzují, že Dodatek byl uzavřen podle jejich svobodné vůle a že s jeho obsahem souhlasí.</w:t>
      </w:r>
    </w:p>
    <w:p w14:paraId="22AD6619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Za Zdravotní pojišťovnu jsou k podpisu tohoto Dodatku oprávněny osoby, které zmocnil k podpisu statutární zástupce.</w:t>
      </w:r>
    </w:p>
    <w:p w14:paraId="7132A32C" w14:textId="77777777" w:rsidR="006901C0" w:rsidRPr="007607C7" w:rsidRDefault="006901C0" w:rsidP="006901C0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Dodatek je vyhotoven ve dvou stejnopisech, z nichž každá ze smluvních stran obdrží po jednom vyhotovení v případě, že nebude Dodatek uzavřen cestou datových schránek způsobem uvedeným v článku III. odst. </w:t>
      </w:r>
      <w:r>
        <w:rPr>
          <w:rFonts w:ascii="Arial" w:hAnsi="Arial" w:cs="Arial"/>
          <w:sz w:val="18"/>
          <w:szCs w:val="18"/>
        </w:rPr>
        <w:t>7</w:t>
      </w:r>
      <w:r w:rsidRPr="007607C7">
        <w:rPr>
          <w:rFonts w:ascii="Arial" w:hAnsi="Arial" w:cs="Arial"/>
          <w:sz w:val="18"/>
          <w:szCs w:val="18"/>
        </w:rPr>
        <w:t xml:space="preserve"> tohoto Dodatku.</w:t>
      </w:r>
    </w:p>
    <w:p w14:paraId="31844231" w14:textId="77777777" w:rsidR="000618A7" w:rsidRPr="00CB713B" w:rsidRDefault="000618A7" w:rsidP="002A2164">
      <w:pPr>
        <w:widowControl w:val="0"/>
        <w:spacing w:before="20"/>
        <w:ind w:left="60"/>
        <w:rPr>
          <w:rFonts w:ascii="Arial" w:hAnsi="Arial" w:cs="Arial"/>
          <w:sz w:val="17"/>
          <w:szCs w:val="17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693"/>
        <w:gridCol w:w="567"/>
        <w:gridCol w:w="1199"/>
        <w:gridCol w:w="1557"/>
        <w:gridCol w:w="363"/>
        <w:gridCol w:w="2551"/>
        <w:gridCol w:w="567"/>
        <w:gridCol w:w="1190"/>
      </w:tblGrid>
      <w:tr w:rsidR="004136EA" w:rsidRPr="00CB713B" w14:paraId="3184423C" w14:textId="77777777">
        <w:tc>
          <w:tcPr>
            <w:tcW w:w="212" w:type="dxa"/>
          </w:tcPr>
          <w:p w14:paraId="31844232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CB713B">
              <w:rPr>
                <w:rFonts w:ascii="Arial" w:hAnsi="Arial"/>
                <w:sz w:val="17"/>
                <w:szCs w:val="17"/>
              </w:rPr>
              <w:t>V</w:t>
            </w:r>
          </w:p>
        </w:tc>
        <w:tc>
          <w:tcPr>
            <w:tcW w:w="2693" w:type="dxa"/>
          </w:tcPr>
          <w:p w14:paraId="31844233" w14:textId="77777777" w:rsidR="00FA4EB4" w:rsidRPr="00CB713B" w:rsidRDefault="00FA4EB4" w:rsidP="00FA4EB4">
            <w:pPr>
              <w:pStyle w:val="TableContents"/>
              <w:rPr>
                <w:rFonts w:ascii="Arial" w:hAnsi="Arial"/>
                <w:sz w:val="17"/>
                <w:szCs w:val="17"/>
              </w:rPr>
            </w:pPr>
            <w:r w:rsidRPr="00CB713B">
              <w:rPr>
                <w:rFonts w:ascii="Arial" w:hAnsi="Arial"/>
                <w:sz w:val="17"/>
                <w:szCs w:val="17"/>
                <w:highlight w:val="cyan"/>
              </w:rPr>
              <w:t>If usekzz = 3</w:t>
            </w:r>
            <w:r w:rsidRPr="00CB713B">
              <w:rPr>
                <w:rFonts w:ascii="Arial" w:hAnsi="Arial"/>
                <w:sz w:val="17"/>
                <w:szCs w:val="17"/>
              </w:rPr>
              <w:t xml:space="preserve"> then Ostravě</w:t>
            </w:r>
          </w:p>
          <w:p w14:paraId="31844234" w14:textId="77777777" w:rsidR="004136EA" w:rsidRPr="00CB713B" w:rsidRDefault="00FA4EB4" w:rsidP="00FA4EB4">
            <w:pPr>
              <w:pStyle w:val="TableContents"/>
              <w:rPr>
                <w:sz w:val="17"/>
                <w:szCs w:val="17"/>
              </w:rPr>
            </w:pPr>
            <w:r w:rsidRPr="00CB713B">
              <w:rPr>
                <w:rFonts w:ascii="Arial" w:hAnsi="Arial"/>
                <w:sz w:val="17"/>
                <w:szCs w:val="17"/>
              </w:rPr>
              <w:t xml:space="preserve">   </w:t>
            </w:r>
            <w:r w:rsidRPr="00CB713B">
              <w:rPr>
                <w:rFonts w:ascii="Arial" w:hAnsi="Arial"/>
                <w:sz w:val="17"/>
                <w:szCs w:val="17"/>
                <w:highlight w:val="cyan"/>
              </w:rPr>
              <w:t>Else</w:t>
            </w:r>
            <w:r w:rsidRPr="00CB713B">
              <w:rPr>
                <w:rFonts w:ascii="Arial" w:hAnsi="Arial"/>
                <w:sz w:val="17"/>
                <w:szCs w:val="17"/>
              </w:rPr>
              <w:t xml:space="preserve"> Praze</w:t>
            </w:r>
          </w:p>
        </w:tc>
        <w:tc>
          <w:tcPr>
            <w:tcW w:w="567" w:type="dxa"/>
          </w:tcPr>
          <w:p w14:paraId="31844235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CB713B">
              <w:rPr>
                <w:rFonts w:ascii="Arial" w:hAnsi="Arial"/>
                <w:sz w:val="17"/>
                <w:szCs w:val="17"/>
              </w:rPr>
              <w:t>dne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44236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557" w:type="dxa"/>
          </w:tcPr>
          <w:p w14:paraId="31844237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63" w:type="dxa"/>
          </w:tcPr>
          <w:p w14:paraId="31844238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CB713B">
              <w:rPr>
                <w:rFonts w:ascii="Arial" w:hAnsi="Arial"/>
                <w:sz w:val="17"/>
                <w:szCs w:val="17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44239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7" w:type="dxa"/>
          </w:tcPr>
          <w:p w14:paraId="3184423A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CB713B">
              <w:rPr>
                <w:rFonts w:ascii="Arial" w:hAnsi="Arial"/>
                <w:sz w:val="17"/>
                <w:szCs w:val="17"/>
              </w:rPr>
              <w:t>dne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4423B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</w:tr>
      <w:tr w:rsidR="004136EA" w:rsidRPr="00CB713B" w14:paraId="31844244" w14:textId="77777777">
        <w:trPr>
          <w:trHeight w:val="485"/>
        </w:trPr>
        <w:tc>
          <w:tcPr>
            <w:tcW w:w="212" w:type="dxa"/>
            <w:tcBorders>
              <w:bottom w:val="single" w:sz="4" w:space="0" w:color="auto"/>
            </w:tcBorders>
          </w:tcPr>
          <w:p w14:paraId="3184423D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84423E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</w:tcPr>
          <w:p w14:paraId="3184423F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557" w:type="dxa"/>
          </w:tcPr>
          <w:p w14:paraId="31844240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31844241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844242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14:paraId="31844243" w14:textId="77777777" w:rsidR="004136EA" w:rsidRPr="00CB713B" w:rsidRDefault="004136EA">
            <w:pPr>
              <w:jc w:val="both"/>
              <w:rPr>
                <w:rFonts w:ascii="Arial" w:hAnsi="Arial"/>
                <w:sz w:val="17"/>
                <w:szCs w:val="17"/>
              </w:rPr>
            </w:pPr>
          </w:p>
        </w:tc>
      </w:tr>
      <w:tr w:rsidR="004136EA" w:rsidRPr="00CB713B" w14:paraId="31844248" w14:textId="77777777">
        <w:trPr>
          <w:trHeight w:val="141"/>
        </w:trPr>
        <w:tc>
          <w:tcPr>
            <w:tcW w:w="46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1844245" w14:textId="77777777" w:rsidR="004136EA" w:rsidRPr="00CB713B" w:rsidRDefault="004136EA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CB713B">
              <w:rPr>
                <w:rFonts w:ascii="Arial" w:hAnsi="Arial"/>
                <w:sz w:val="17"/>
                <w:szCs w:val="17"/>
              </w:rPr>
              <w:t>za Zdravotní pojišťovnu</w:t>
            </w:r>
          </w:p>
        </w:tc>
        <w:tc>
          <w:tcPr>
            <w:tcW w:w="1557" w:type="dxa"/>
          </w:tcPr>
          <w:p w14:paraId="31844246" w14:textId="77777777" w:rsidR="004136EA" w:rsidRPr="00CB713B" w:rsidRDefault="004136EA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1844247" w14:textId="77777777" w:rsidR="004136EA" w:rsidRPr="00CB713B" w:rsidRDefault="004136EA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CB713B">
              <w:rPr>
                <w:rFonts w:ascii="Arial" w:hAnsi="Arial"/>
                <w:sz w:val="17"/>
                <w:szCs w:val="17"/>
              </w:rPr>
              <w:t xml:space="preserve">za </w:t>
            </w:r>
            <w:r w:rsidR="001B08A0" w:rsidRPr="00CB713B">
              <w:rPr>
                <w:rFonts w:ascii="Arial" w:hAnsi="Arial"/>
                <w:sz w:val="17"/>
                <w:szCs w:val="17"/>
              </w:rPr>
              <w:t>Poskytovatele</w:t>
            </w:r>
          </w:p>
        </w:tc>
      </w:tr>
    </w:tbl>
    <w:p w14:paraId="31844249" w14:textId="77777777" w:rsidR="004136EA" w:rsidRPr="00CB713B" w:rsidRDefault="004136EA" w:rsidP="00463010">
      <w:pPr>
        <w:jc w:val="both"/>
        <w:rPr>
          <w:sz w:val="17"/>
          <w:szCs w:val="17"/>
        </w:rPr>
      </w:pPr>
    </w:p>
    <w:sectPr w:rsidR="004136EA" w:rsidRPr="00CB713B" w:rsidSect="00E37742">
      <w:footerReference w:type="first" r:id="rId12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7C55" w14:textId="77777777" w:rsidR="005E5A8D" w:rsidRDefault="005E5A8D">
      <w:r>
        <w:separator/>
      </w:r>
    </w:p>
  </w:endnote>
  <w:endnote w:type="continuationSeparator" w:id="0">
    <w:p w14:paraId="2604C992" w14:textId="77777777" w:rsidR="005E5A8D" w:rsidRDefault="005E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DDAF N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éč">
    <w:altName w:val="Times New Roman"/>
    <w:panose1 w:val="00000000000000000000"/>
    <w:charset w:val="00"/>
    <w:family w:val="roman"/>
    <w:notTrueType/>
    <w:pitch w:val="default"/>
  </w:font>
  <w:font w:name="Code-39-25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4250" w14:textId="77777777" w:rsidR="001757C7" w:rsidRDefault="001757C7">
    <w:pPr>
      <w:framePr w:w="1377" w:h="289" w:hSpace="141" w:wrap="around" w:vAnchor="page" w:hAnchor="page" w:x="9942" w:y="16047"/>
      <w:jc w:val="right"/>
    </w:pPr>
    <w:r>
      <w:rPr>
        <w:sz w:val="12"/>
      </w:rPr>
      <w:t>7011-D12Ak-01/</w:t>
    </w:r>
    <w:r w:rsidR="00132CE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32CEE">
      <w:rPr>
        <w:rStyle w:val="slostrnky"/>
      </w:rPr>
      <w:fldChar w:fldCharType="separate"/>
    </w:r>
    <w:r>
      <w:rPr>
        <w:rStyle w:val="slostrnky"/>
        <w:noProof/>
      </w:rPr>
      <w:t>2</w:t>
    </w:r>
    <w:r w:rsidR="00132CEE">
      <w:rPr>
        <w:rStyle w:val="slostrnky"/>
      </w:rPr>
      <w:fldChar w:fldCharType="end"/>
    </w:r>
  </w:p>
  <w:p w14:paraId="31844251" w14:textId="77777777" w:rsidR="001757C7" w:rsidRDefault="00175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558DD" w14:textId="77777777" w:rsidR="005E5A8D" w:rsidRDefault="005E5A8D">
      <w:r>
        <w:separator/>
      </w:r>
    </w:p>
  </w:footnote>
  <w:footnote w:type="continuationSeparator" w:id="0">
    <w:p w14:paraId="33D24041" w14:textId="77777777" w:rsidR="005E5A8D" w:rsidRDefault="005E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6CD"/>
    <w:multiLevelType w:val="multilevel"/>
    <w:tmpl w:val="D7E61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5952BD"/>
    <w:multiLevelType w:val="hybridMultilevel"/>
    <w:tmpl w:val="F23EE838"/>
    <w:lvl w:ilvl="0" w:tplc="3022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2" w:tplc="F2788380">
      <w:start w:val="9547"/>
      <w:numFmt w:val="decimalZero"/>
      <w:lvlText w:val="%3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F3995"/>
    <w:multiLevelType w:val="multilevel"/>
    <w:tmpl w:val="B8F4F9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E270DDE"/>
    <w:multiLevelType w:val="multilevel"/>
    <w:tmpl w:val="61FED0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28B1CB5"/>
    <w:multiLevelType w:val="multilevel"/>
    <w:tmpl w:val="16784B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6474D6F"/>
    <w:multiLevelType w:val="hybridMultilevel"/>
    <w:tmpl w:val="F9EEAD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D8293E"/>
    <w:multiLevelType w:val="multilevel"/>
    <w:tmpl w:val="8204645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12F42FC"/>
    <w:multiLevelType w:val="multilevel"/>
    <w:tmpl w:val="59EC4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0671B"/>
    <w:multiLevelType w:val="multilevel"/>
    <w:tmpl w:val="61FED0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7731CD"/>
    <w:multiLevelType w:val="multilevel"/>
    <w:tmpl w:val="EDBE59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5D67E43"/>
    <w:multiLevelType w:val="multilevel"/>
    <w:tmpl w:val="BE8A5E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60109FD"/>
    <w:multiLevelType w:val="multilevel"/>
    <w:tmpl w:val="5FE42D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64244B1"/>
    <w:multiLevelType w:val="multilevel"/>
    <w:tmpl w:val="E2B84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8BA68DC"/>
    <w:multiLevelType w:val="multilevel"/>
    <w:tmpl w:val="CD92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543C5"/>
    <w:multiLevelType w:val="multilevel"/>
    <w:tmpl w:val="D7E61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6327AA6"/>
    <w:multiLevelType w:val="hybridMultilevel"/>
    <w:tmpl w:val="27EC16FE"/>
    <w:lvl w:ilvl="0" w:tplc="40B4AEE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65353B3"/>
    <w:multiLevelType w:val="multilevel"/>
    <w:tmpl w:val="0F7EC6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4361C0A"/>
    <w:multiLevelType w:val="hybridMultilevel"/>
    <w:tmpl w:val="F196D04A"/>
    <w:lvl w:ilvl="0" w:tplc="E1A2C0E0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773572A7"/>
    <w:multiLevelType w:val="multilevel"/>
    <w:tmpl w:val="B71403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2" w:hanging="622"/>
      </w:pPr>
      <w:rPr>
        <w:rFonts w:hint="default"/>
      </w:rPr>
    </w:lvl>
    <w:lvl w:ilvl="2">
      <w:start w:val="1"/>
      <w:numFmt w:val="decimal"/>
      <w:lvlText w:val="%1.2: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7926BB6"/>
    <w:multiLevelType w:val="multilevel"/>
    <w:tmpl w:val="43CA08B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7A08667C"/>
    <w:multiLevelType w:val="hybridMultilevel"/>
    <w:tmpl w:val="6F604CD4"/>
    <w:lvl w:ilvl="0" w:tplc="BC80225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345B6"/>
    <w:multiLevelType w:val="hybridMultilevel"/>
    <w:tmpl w:val="5678B20C"/>
    <w:lvl w:ilvl="0" w:tplc="1736FB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222691"/>
    <w:multiLevelType w:val="hybridMultilevel"/>
    <w:tmpl w:val="A7F4BD42"/>
    <w:lvl w:ilvl="0" w:tplc="FA4837B0">
      <w:start w:val="1"/>
      <w:numFmt w:val="decimal"/>
      <w:pStyle w:val="slovan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B144F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238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EE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C0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44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8D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0B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4A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22"/>
  </w:num>
  <w:num w:numId="5">
    <w:abstractNumId w:val="0"/>
  </w:num>
  <w:num w:numId="6">
    <w:abstractNumId w:val="12"/>
  </w:num>
  <w:num w:numId="7">
    <w:abstractNumId w:val="14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16"/>
  </w:num>
  <w:num w:numId="13">
    <w:abstractNumId w:val="5"/>
  </w:num>
  <w:num w:numId="14">
    <w:abstractNumId w:val="10"/>
  </w:num>
  <w:num w:numId="15">
    <w:abstractNumId w:val="6"/>
  </w:num>
  <w:num w:numId="16">
    <w:abstractNumId w:val="9"/>
  </w:num>
  <w:num w:numId="17">
    <w:abstractNumId w:val="8"/>
  </w:num>
  <w:num w:numId="18">
    <w:abstractNumId w:val="3"/>
  </w:num>
  <w:num w:numId="19">
    <w:abstractNumId w:val="11"/>
  </w:num>
  <w:num w:numId="20">
    <w:abstractNumId w:val="2"/>
  </w:num>
  <w:num w:numId="21">
    <w:abstractNumId w:val="20"/>
  </w:num>
  <w:num w:numId="22">
    <w:abstractNumId w:val="7"/>
  </w:num>
  <w:num w:numId="23">
    <w:abstractNumId w:val="18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DuplexMode" w:val="1"/>
    <w:docVar w:name="VAR.A2" w:val="2 081 942"/>
    <w:docVar w:name="VAR.B2" w:val="6 392 714"/>
    <w:docVar w:name="VAR.DOTISK" w:val="VAR.dotisk"/>
    <w:docVar w:name="VAR.ICO" w:val="VAR.ico"/>
    <w:docVar w:name="VAR.ICZ" w:val="VAR.icz"/>
    <w:docVar w:name="VAR.INFV_ID" w:val="VAR.infv_id"/>
    <w:docVar w:name="VAR.IX_011" w:val="2"/>
    <w:docVar w:name="VAR.K_MESTO" w:val="VAR.k_mesto"/>
    <w:docVar w:name="VAR.K_NAZEV1" w:val="VAR.k_nazev1"/>
    <w:docVar w:name="VAR.K_PSC" w:val="VAR.k_psc"/>
    <w:docVar w:name="VAR.K_ULICE1" w:val="VAR.k_ulice1"/>
    <w:docVar w:name="VAR.K_ULICE2" w:val="VAR.k_ulice2"/>
    <w:docVar w:name="VAR.KODPOB" w:val="VAR.kodpob"/>
    <w:docVar w:name="VAR.LIMIT1" w:val="VAR.limit1"/>
    <w:docVar w:name="VAR.LIMIT2" w:val="VAR.limit2"/>
    <w:docVar w:name="VAR.NAZEV2" w:val="VAR.nazev2"/>
    <w:docVar w:name="VAR.NAZEV3" w:val="VAR.nazev3"/>
    <w:docVar w:name="VAR.S_MESTO" w:val="VAR.s_mesto"/>
    <w:docVar w:name="VAR.S_NAZEV1" w:val="VAR.s_nazev1"/>
    <w:docVar w:name="VAR.S_PSC" w:val="VAR.s_psc"/>
    <w:docVar w:name="VAR.S_ULICE1" w:val="VAR.s_ulice1"/>
    <w:docVar w:name="VAR.S_ULICE2" w:val="VAR.s_ulice2"/>
    <w:docVar w:name="VAR.VARS" w:val="VAR.vars"/>
    <w:docVar w:name="VAR.ZZ_ZAST" w:val="VAR.zz_zast"/>
  </w:docVars>
  <w:rsids>
    <w:rsidRoot w:val="00AD31CD"/>
    <w:rsid w:val="000014C8"/>
    <w:rsid w:val="00004CAA"/>
    <w:rsid w:val="000145A3"/>
    <w:rsid w:val="00016A4F"/>
    <w:rsid w:val="0002170D"/>
    <w:rsid w:val="000223F1"/>
    <w:rsid w:val="00022922"/>
    <w:rsid w:val="00022FDC"/>
    <w:rsid w:val="000248AA"/>
    <w:rsid w:val="00025CFE"/>
    <w:rsid w:val="000319FB"/>
    <w:rsid w:val="0003777D"/>
    <w:rsid w:val="00037873"/>
    <w:rsid w:val="000412C0"/>
    <w:rsid w:val="0004734F"/>
    <w:rsid w:val="00050049"/>
    <w:rsid w:val="00056CA7"/>
    <w:rsid w:val="000570CF"/>
    <w:rsid w:val="00057514"/>
    <w:rsid w:val="00057B13"/>
    <w:rsid w:val="00060AF9"/>
    <w:rsid w:val="000618A7"/>
    <w:rsid w:val="00067038"/>
    <w:rsid w:val="00070A86"/>
    <w:rsid w:val="00070F8A"/>
    <w:rsid w:val="0007202C"/>
    <w:rsid w:val="0007260E"/>
    <w:rsid w:val="00074854"/>
    <w:rsid w:val="000921E6"/>
    <w:rsid w:val="00093F06"/>
    <w:rsid w:val="000958CC"/>
    <w:rsid w:val="000A1828"/>
    <w:rsid w:val="000A67E6"/>
    <w:rsid w:val="000B0209"/>
    <w:rsid w:val="000B4F23"/>
    <w:rsid w:val="000B782D"/>
    <w:rsid w:val="000B7AC5"/>
    <w:rsid w:val="000C3315"/>
    <w:rsid w:val="000C6650"/>
    <w:rsid w:val="000E2354"/>
    <w:rsid w:val="000E2BAB"/>
    <w:rsid w:val="000E2E9E"/>
    <w:rsid w:val="000E34B0"/>
    <w:rsid w:val="000E4237"/>
    <w:rsid w:val="000E7B1A"/>
    <w:rsid w:val="000F3757"/>
    <w:rsid w:val="000F4114"/>
    <w:rsid w:val="001108A5"/>
    <w:rsid w:val="00110C95"/>
    <w:rsid w:val="001128F3"/>
    <w:rsid w:val="00125DF7"/>
    <w:rsid w:val="00126BA4"/>
    <w:rsid w:val="00130336"/>
    <w:rsid w:val="00132CEE"/>
    <w:rsid w:val="0014768B"/>
    <w:rsid w:val="001478C4"/>
    <w:rsid w:val="00147F57"/>
    <w:rsid w:val="00157DF5"/>
    <w:rsid w:val="001757C7"/>
    <w:rsid w:val="001773FD"/>
    <w:rsid w:val="001831AF"/>
    <w:rsid w:val="00183AFE"/>
    <w:rsid w:val="001841DA"/>
    <w:rsid w:val="001903BF"/>
    <w:rsid w:val="00190D07"/>
    <w:rsid w:val="00191D9F"/>
    <w:rsid w:val="00191F07"/>
    <w:rsid w:val="00193117"/>
    <w:rsid w:val="001939A7"/>
    <w:rsid w:val="00193C59"/>
    <w:rsid w:val="00193FD1"/>
    <w:rsid w:val="001A3D8C"/>
    <w:rsid w:val="001A793E"/>
    <w:rsid w:val="001B08A0"/>
    <w:rsid w:val="001B6FA5"/>
    <w:rsid w:val="001C2944"/>
    <w:rsid w:val="001C4C30"/>
    <w:rsid w:val="001D00B2"/>
    <w:rsid w:val="001D51B4"/>
    <w:rsid w:val="001E0FDB"/>
    <w:rsid w:val="001E204A"/>
    <w:rsid w:val="001E2636"/>
    <w:rsid w:val="001E6E7A"/>
    <w:rsid w:val="001F55BA"/>
    <w:rsid w:val="001F6706"/>
    <w:rsid w:val="001F7038"/>
    <w:rsid w:val="0020489D"/>
    <w:rsid w:val="00221337"/>
    <w:rsid w:val="00221D73"/>
    <w:rsid w:val="00223EA0"/>
    <w:rsid w:val="00233D8E"/>
    <w:rsid w:val="002406C8"/>
    <w:rsid w:val="00247192"/>
    <w:rsid w:val="00250F2B"/>
    <w:rsid w:val="00253AB7"/>
    <w:rsid w:val="00254774"/>
    <w:rsid w:val="0025619C"/>
    <w:rsid w:val="002601AB"/>
    <w:rsid w:val="00261286"/>
    <w:rsid w:val="002621FF"/>
    <w:rsid w:val="00263285"/>
    <w:rsid w:val="00263944"/>
    <w:rsid w:val="00270180"/>
    <w:rsid w:val="00273E3D"/>
    <w:rsid w:val="00284712"/>
    <w:rsid w:val="00286876"/>
    <w:rsid w:val="002902B5"/>
    <w:rsid w:val="002A1533"/>
    <w:rsid w:val="002A2164"/>
    <w:rsid w:val="002A4292"/>
    <w:rsid w:val="002A47DB"/>
    <w:rsid w:val="002B10DC"/>
    <w:rsid w:val="002B12FF"/>
    <w:rsid w:val="002B5946"/>
    <w:rsid w:val="002B6129"/>
    <w:rsid w:val="002B7AB8"/>
    <w:rsid w:val="002C0597"/>
    <w:rsid w:val="002C26B8"/>
    <w:rsid w:val="002C3980"/>
    <w:rsid w:val="002E37A4"/>
    <w:rsid w:val="002E3C97"/>
    <w:rsid w:val="002E3D63"/>
    <w:rsid w:val="002E5226"/>
    <w:rsid w:val="002E6508"/>
    <w:rsid w:val="002E66F6"/>
    <w:rsid w:val="002F015D"/>
    <w:rsid w:val="002F0FA3"/>
    <w:rsid w:val="002F5822"/>
    <w:rsid w:val="003014D2"/>
    <w:rsid w:val="00302A1B"/>
    <w:rsid w:val="00304998"/>
    <w:rsid w:val="003357CA"/>
    <w:rsid w:val="003379B3"/>
    <w:rsid w:val="00343D17"/>
    <w:rsid w:val="003441C4"/>
    <w:rsid w:val="00352397"/>
    <w:rsid w:val="003541E0"/>
    <w:rsid w:val="00355646"/>
    <w:rsid w:val="00361DF8"/>
    <w:rsid w:val="00366FC9"/>
    <w:rsid w:val="00375BAD"/>
    <w:rsid w:val="003874E6"/>
    <w:rsid w:val="0039190A"/>
    <w:rsid w:val="003A3053"/>
    <w:rsid w:val="003B11E3"/>
    <w:rsid w:val="003B2CD3"/>
    <w:rsid w:val="003B2FCF"/>
    <w:rsid w:val="003B769D"/>
    <w:rsid w:val="003C182B"/>
    <w:rsid w:val="003C3FDD"/>
    <w:rsid w:val="003C44FC"/>
    <w:rsid w:val="003C5E32"/>
    <w:rsid w:val="003E7886"/>
    <w:rsid w:val="003F3D17"/>
    <w:rsid w:val="003F4DDC"/>
    <w:rsid w:val="003F552B"/>
    <w:rsid w:val="00401AD1"/>
    <w:rsid w:val="00403BD8"/>
    <w:rsid w:val="004136EA"/>
    <w:rsid w:val="004213FF"/>
    <w:rsid w:val="00433B70"/>
    <w:rsid w:val="0043423A"/>
    <w:rsid w:val="004404CA"/>
    <w:rsid w:val="0044183F"/>
    <w:rsid w:val="0044352B"/>
    <w:rsid w:val="00452EA5"/>
    <w:rsid w:val="00456D1F"/>
    <w:rsid w:val="00463010"/>
    <w:rsid w:val="00475A96"/>
    <w:rsid w:val="00481D12"/>
    <w:rsid w:val="0049471A"/>
    <w:rsid w:val="004A6E61"/>
    <w:rsid w:val="004B0741"/>
    <w:rsid w:val="004B1112"/>
    <w:rsid w:val="004B1B02"/>
    <w:rsid w:val="004B1BFA"/>
    <w:rsid w:val="004C3B4C"/>
    <w:rsid w:val="004D34AD"/>
    <w:rsid w:val="004D53E6"/>
    <w:rsid w:val="004D6498"/>
    <w:rsid w:val="004E21A2"/>
    <w:rsid w:val="004F0B9A"/>
    <w:rsid w:val="004F593E"/>
    <w:rsid w:val="004F728C"/>
    <w:rsid w:val="00500D21"/>
    <w:rsid w:val="0050156D"/>
    <w:rsid w:val="00504BF2"/>
    <w:rsid w:val="0050726B"/>
    <w:rsid w:val="005119E8"/>
    <w:rsid w:val="00514EF8"/>
    <w:rsid w:val="005165D8"/>
    <w:rsid w:val="00520B65"/>
    <w:rsid w:val="0052476B"/>
    <w:rsid w:val="00524C92"/>
    <w:rsid w:val="005303B0"/>
    <w:rsid w:val="00530ACD"/>
    <w:rsid w:val="00530DAC"/>
    <w:rsid w:val="00536193"/>
    <w:rsid w:val="00555833"/>
    <w:rsid w:val="005559FF"/>
    <w:rsid w:val="00557749"/>
    <w:rsid w:val="00560CCA"/>
    <w:rsid w:val="00561650"/>
    <w:rsid w:val="005665AB"/>
    <w:rsid w:val="00570CB5"/>
    <w:rsid w:val="00576C1D"/>
    <w:rsid w:val="00577399"/>
    <w:rsid w:val="0059201B"/>
    <w:rsid w:val="005A3F68"/>
    <w:rsid w:val="005A699C"/>
    <w:rsid w:val="005B0C15"/>
    <w:rsid w:val="005B591A"/>
    <w:rsid w:val="005B682C"/>
    <w:rsid w:val="005B6EB9"/>
    <w:rsid w:val="005C0170"/>
    <w:rsid w:val="005C18F6"/>
    <w:rsid w:val="005D4B47"/>
    <w:rsid w:val="005D5BF9"/>
    <w:rsid w:val="005E2DA7"/>
    <w:rsid w:val="005E3712"/>
    <w:rsid w:val="005E5A8D"/>
    <w:rsid w:val="005E5EDF"/>
    <w:rsid w:val="005F0ECB"/>
    <w:rsid w:val="005F322F"/>
    <w:rsid w:val="005F4F9F"/>
    <w:rsid w:val="005F58F7"/>
    <w:rsid w:val="005F6390"/>
    <w:rsid w:val="005F7B52"/>
    <w:rsid w:val="005F7EEB"/>
    <w:rsid w:val="006002F2"/>
    <w:rsid w:val="00600A93"/>
    <w:rsid w:val="006031F3"/>
    <w:rsid w:val="00607366"/>
    <w:rsid w:val="006077AD"/>
    <w:rsid w:val="0061403D"/>
    <w:rsid w:val="00615F18"/>
    <w:rsid w:val="00627D5F"/>
    <w:rsid w:val="006351B2"/>
    <w:rsid w:val="006353BF"/>
    <w:rsid w:val="0064330C"/>
    <w:rsid w:val="0064611A"/>
    <w:rsid w:val="00651F0C"/>
    <w:rsid w:val="00653DBB"/>
    <w:rsid w:val="00654582"/>
    <w:rsid w:val="00665574"/>
    <w:rsid w:val="006655BB"/>
    <w:rsid w:val="006716F7"/>
    <w:rsid w:val="00674E43"/>
    <w:rsid w:val="00682508"/>
    <w:rsid w:val="00685826"/>
    <w:rsid w:val="006901C0"/>
    <w:rsid w:val="0069095F"/>
    <w:rsid w:val="006910CA"/>
    <w:rsid w:val="00693057"/>
    <w:rsid w:val="006A00E3"/>
    <w:rsid w:val="006A47FE"/>
    <w:rsid w:val="006A49E9"/>
    <w:rsid w:val="006A6519"/>
    <w:rsid w:val="006B6746"/>
    <w:rsid w:val="006C0138"/>
    <w:rsid w:val="006C2A2E"/>
    <w:rsid w:val="006C372E"/>
    <w:rsid w:val="006C5911"/>
    <w:rsid w:val="006C5ECC"/>
    <w:rsid w:val="006C6202"/>
    <w:rsid w:val="006E6592"/>
    <w:rsid w:val="006F2544"/>
    <w:rsid w:val="006F40F6"/>
    <w:rsid w:val="00700D5A"/>
    <w:rsid w:val="00702962"/>
    <w:rsid w:val="007050F5"/>
    <w:rsid w:val="0070770C"/>
    <w:rsid w:val="0071106A"/>
    <w:rsid w:val="00713D56"/>
    <w:rsid w:val="00715E07"/>
    <w:rsid w:val="007223D1"/>
    <w:rsid w:val="007276FE"/>
    <w:rsid w:val="00730FE4"/>
    <w:rsid w:val="007359A4"/>
    <w:rsid w:val="00741BCA"/>
    <w:rsid w:val="00743C6D"/>
    <w:rsid w:val="00746BEC"/>
    <w:rsid w:val="007472D6"/>
    <w:rsid w:val="0074752B"/>
    <w:rsid w:val="00747C0F"/>
    <w:rsid w:val="00750799"/>
    <w:rsid w:val="0075683C"/>
    <w:rsid w:val="00757027"/>
    <w:rsid w:val="007571B2"/>
    <w:rsid w:val="00764102"/>
    <w:rsid w:val="00765769"/>
    <w:rsid w:val="0076677A"/>
    <w:rsid w:val="00771813"/>
    <w:rsid w:val="007744C8"/>
    <w:rsid w:val="00776622"/>
    <w:rsid w:val="007847D2"/>
    <w:rsid w:val="00793B5D"/>
    <w:rsid w:val="00793C4B"/>
    <w:rsid w:val="0079415E"/>
    <w:rsid w:val="00794D5E"/>
    <w:rsid w:val="0079590C"/>
    <w:rsid w:val="007A0C3E"/>
    <w:rsid w:val="007A3D29"/>
    <w:rsid w:val="007B0408"/>
    <w:rsid w:val="007B2C8D"/>
    <w:rsid w:val="007B35EA"/>
    <w:rsid w:val="007C0318"/>
    <w:rsid w:val="007C089A"/>
    <w:rsid w:val="007C5353"/>
    <w:rsid w:val="007C5836"/>
    <w:rsid w:val="007D1343"/>
    <w:rsid w:val="007D390A"/>
    <w:rsid w:val="007D4624"/>
    <w:rsid w:val="007E2396"/>
    <w:rsid w:val="007E3530"/>
    <w:rsid w:val="007E35CF"/>
    <w:rsid w:val="007E3E59"/>
    <w:rsid w:val="007F0AC3"/>
    <w:rsid w:val="007F136C"/>
    <w:rsid w:val="007F2AB9"/>
    <w:rsid w:val="008026DC"/>
    <w:rsid w:val="00804C35"/>
    <w:rsid w:val="00805669"/>
    <w:rsid w:val="00811171"/>
    <w:rsid w:val="00816479"/>
    <w:rsid w:val="008166B0"/>
    <w:rsid w:val="0082093A"/>
    <w:rsid w:val="00820C97"/>
    <w:rsid w:val="008227B9"/>
    <w:rsid w:val="00826956"/>
    <w:rsid w:val="00826E06"/>
    <w:rsid w:val="00834562"/>
    <w:rsid w:val="008415A4"/>
    <w:rsid w:val="00841C40"/>
    <w:rsid w:val="0085658A"/>
    <w:rsid w:val="008612B1"/>
    <w:rsid w:val="00875C26"/>
    <w:rsid w:val="00877B93"/>
    <w:rsid w:val="008811D7"/>
    <w:rsid w:val="00881D63"/>
    <w:rsid w:val="00884197"/>
    <w:rsid w:val="008846D0"/>
    <w:rsid w:val="008862C6"/>
    <w:rsid w:val="00890800"/>
    <w:rsid w:val="008935E3"/>
    <w:rsid w:val="008A36DA"/>
    <w:rsid w:val="008A47D9"/>
    <w:rsid w:val="008A4BDA"/>
    <w:rsid w:val="008B30B9"/>
    <w:rsid w:val="008B6BAD"/>
    <w:rsid w:val="008B6E95"/>
    <w:rsid w:val="008C245C"/>
    <w:rsid w:val="008C3FBD"/>
    <w:rsid w:val="008D4C21"/>
    <w:rsid w:val="008D6024"/>
    <w:rsid w:val="008D6CED"/>
    <w:rsid w:val="008D72F8"/>
    <w:rsid w:val="008E1F48"/>
    <w:rsid w:val="008E3345"/>
    <w:rsid w:val="008E3444"/>
    <w:rsid w:val="008E40BD"/>
    <w:rsid w:val="008E6A53"/>
    <w:rsid w:val="008F257E"/>
    <w:rsid w:val="008F703F"/>
    <w:rsid w:val="008F78A0"/>
    <w:rsid w:val="009014CB"/>
    <w:rsid w:val="0090267A"/>
    <w:rsid w:val="00902B14"/>
    <w:rsid w:val="00913CBF"/>
    <w:rsid w:val="00915CEB"/>
    <w:rsid w:val="00916153"/>
    <w:rsid w:val="00926FB4"/>
    <w:rsid w:val="00935CA6"/>
    <w:rsid w:val="0094205D"/>
    <w:rsid w:val="0095141F"/>
    <w:rsid w:val="00957D9E"/>
    <w:rsid w:val="00960AD1"/>
    <w:rsid w:val="0096385F"/>
    <w:rsid w:val="00964604"/>
    <w:rsid w:val="009718F9"/>
    <w:rsid w:val="009731E0"/>
    <w:rsid w:val="00975F27"/>
    <w:rsid w:val="00997763"/>
    <w:rsid w:val="009A3BE5"/>
    <w:rsid w:val="009A666D"/>
    <w:rsid w:val="009B645D"/>
    <w:rsid w:val="009C12B7"/>
    <w:rsid w:val="009C7D42"/>
    <w:rsid w:val="009E0B65"/>
    <w:rsid w:val="009E6F82"/>
    <w:rsid w:val="009F0453"/>
    <w:rsid w:val="009F145D"/>
    <w:rsid w:val="009F310C"/>
    <w:rsid w:val="009F44E8"/>
    <w:rsid w:val="00A04B85"/>
    <w:rsid w:val="00A06E6D"/>
    <w:rsid w:val="00A10C2A"/>
    <w:rsid w:val="00A12C78"/>
    <w:rsid w:val="00A12DF2"/>
    <w:rsid w:val="00A12E03"/>
    <w:rsid w:val="00A20AF8"/>
    <w:rsid w:val="00A260D6"/>
    <w:rsid w:val="00A34DA9"/>
    <w:rsid w:val="00A54015"/>
    <w:rsid w:val="00A57509"/>
    <w:rsid w:val="00A654FA"/>
    <w:rsid w:val="00A65E2C"/>
    <w:rsid w:val="00A6658D"/>
    <w:rsid w:val="00A67034"/>
    <w:rsid w:val="00A675BB"/>
    <w:rsid w:val="00A714DB"/>
    <w:rsid w:val="00A7182A"/>
    <w:rsid w:val="00A7306A"/>
    <w:rsid w:val="00A75022"/>
    <w:rsid w:val="00A813A7"/>
    <w:rsid w:val="00A91CAC"/>
    <w:rsid w:val="00A97210"/>
    <w:rsid w:val="00AB2AEA"/>
    <w:rsid w:val="00AB6D8F"/>
    <w:rsid w:val="00AC5BE6"/>
    <w:rsid w:val="00AC6E5D"/>
    <w:rsid w:val="00AC730B"/>
    <w:rsid w:val="00AD2461"/>
    <w:rsid w:val="00AD31CD"/>
    <w:rsid w:val="00AE1DE6"/>
    <w:rsid w:val="00AE46E5"/>
    <w:rsid w:val="00AE7945"/>
    <w:rsid w:val="00AF05B1"/>
    <w:rsid w:val="00AF19D5"/>
    <w:rsid w:val="00AF2226"/>
    <w:rsid w:val="00AF3E6F"/>
    <w:rsid w:val="00AF41D9"/>
    <w:rsid w:val="00AF4865"/>
    <w:rsid w:val="00AF7D53"/>
    <w:rsid w:val="00B0648E"/>
    <w:rsid w:val="00B150B3"/>
    <w:rsid w:val="00B24F74"/>
    <w:rsid w:val="00B3181D"/>
    <w:rsid w:val="00B331CE"/>
    <w:rsid w:val="00B3720B"/>
    <w:rsid w:val="00B42B08"/>
    <w:rsid w:val="00B50567"/>
    <w:rsid w:val="00B63F60"/>
    <w:rsid w:val="00B72EE4"/>
    <w:rsid w:val="00B7445D"/>
    <w:rsid w:val="00B7772D"/>
    <w:rsid w:val="00B845BD"/>
    <w:rsid w:val="00B8715E"/>
    <w:rsid w:val="00BA57B6"/>
    <w:rsid w:val="00BB07C6"/>
    <w:rsid w:val="00BB161B"/>
    <w:rsid w:val="00BB5496"/>
    <w:rsid w:val="00BC2C73"/>
    <w:rsid w:val="00BD533D"/>
    <w:rsid w:val="00BD5A94"/>
    <w:rsid w:val="00BD7334"/>
    <w:rsid w:val="00BE0D56"/>
    <w:rsid w:val="00BE47CC"/>
    <w:rsid w:val="00BF0C16"/>
    <w:rsid w:val="00BF4C64"/>
    <w:rsid w:val="00BF59B8"/>
    <w:rsid w:val="00BF7F58"/>
    <w:rsid w:val="00C00799"/>
    <w:rsid w:val="00C023E0"/>
    <w:rsid w:val="00C0724E"/>
    <w:rsid w:val="00C07EC8"/>
    <w:rsid w:val="00C1403D"/>
    <w:rsid w:val="00C157C3"/>
    <w:rsid w:val="00C16343"/>
    <w:rsid w:val="00C207CD"/>
    <w:rsid w:val="00C31629"/>
    <w:rsid w:val="00C32CA0"/>
    <w:rsid w:val="00C42480"/>
    <w:rsid w:val="00C42781"/>
    <w:rsid w:val="00C43258"/>
    <w:rsid w:val="00C478D8"/>
    <w:rsid w:val="00C551EF"/>
    <w:rsid w:val="00C70DDD"/>
    <w:rsid w:val="00C73333"/>
    <w:rsid w:val="00C74E5D"/>
    <w:rsid w:val="00C80FA0"/>
    <w:rsid w:val="00C92917"/>
    <w:rsid w:val="00C9461A"/>
    <w:rsid w:val="00C97C3E"/>
    <w:rsid w:val="00CA15B2"/>
    <w:rsid w:val="00CA45B5"/>
    <w:rsid w:val="00CA7E45"/>
    <w:rsid w:val="00CB17DE"/>
    <w:rsid w:val="00CB5F75"/>
    <w:rsid w:val="00CB6A2B"/>
    <w:rsid w:val="00CB713B"/>
    <w:rsid w:val="00CB7685"/>
    <w:rsid w:val="00CB7931"/>
    <w:rsid w:val="00CC0C7D"/>
    <w:rsid w:val="00CC35E4"/>
    <w:rsid w:val="00CD4C1A"/>
    <w:rsid w:val="00CE379E"/>
    <w:rsid w:val="00CE48E0"/>
    <w:rsid w:val="00CF1883"/>
    <w:rsid w:val="00CF5FE8"/>
    <w:rsid w:val="00D038C7"/>
    <w:rsid w:val="00D077A1"/>
    <w:rsid w:val="00D1296C"/>
    <w:rsid w:val="00D13DD7"/>
    <w:rsid w:val="00D25141"/>
    <w:rsid w:val="00D339F6"/>
    <w:rsid w:val="00D33B51"/>
    <w:rsid w:val="00D41A02"/>
    <w:rsid w:val="00D47F26"/>
    <w:rsid w:val="00D637B0"/>
    <w:rsid w:val="00D65DDD"/>
    <w:rsid w:val="00D705F8"/>
    <w:rsid w:val="00D819B5"/>
    <w:rsid w:val="00D82372"/>
    <w:rsid w:val="00D829F0"/>
    <w:rsid w:val="00D851D7"/>
    <w:rsid w:val="00D85996"/>
    <w:rsid w:val="00D968EE"/>
    <w:rsid w:val="00DA2E3F"/>
    <w:rsid w:val="00DA4344"/>
    <w:rsid w:val="00DA5AE7"/>
    <w:rsid w:val="00DB0593"/>
    <w:rsid w:val="00DC1546"/>
    <w:rsid w:val="00DC6242"/>
    <w:rsid w:val="00DD2B22"/>
    <w:rsid w:val="00DD38B9"/>
    <w:rsid w:val="00DD62E0"/>
    <w:rsid w:val="00DE214E"/>
    <w:rsid w:val="00DE77A6"/>
    <w:rsid w:val="00DF0505"/>
    <w:rsid w:val="00DF754D"/>
    <w:rsid w:val="00E1499E"/>
    <w:rsid w:val="00E14A5A"/>
    <w:rsid w:val="00E15B36"/>
    <w:rsid w:val="00E16BEC"/>
    <w:rsid w:val="00E22968"/>
    <w:rsid w:val="00E35389"/>
    <w:rsid w:val="00E35B62"/>
    <w:rsid w:val="00E374D8"/>
    <w:rsid w:val="00E37742"/>
    <w:rsid w:val="00E421EF"/>
    <w:rsid w:val="00E4235B"/>
    <w:rsid w:val="00E43658"/>
    <w:rsid w:val="00E44C26"/>
    <w:rsid w:val="00E44F70"/>
    <w:rsid w:val="00E567F6"/>
    <w:rsid w:val="00E67087"/>
    <w:rsid w:val="00E6759D"/>
    <w:rsid w:val="00E70BA4"/>
    <w:rsid w:val="00E71AB4"/>
    <w:rsid w:val="00E834C9"/>
    <w:rsid w:val="00E8711F"/>
    <w:rsid w:val="00E92CE0"/>
    <w:rsid w:val="00E955F4"/>
    <w:rsid w:val="00E97E29"/>
    <w:rsid w:val="00EA1819"/>
    <w:rsid w:val="00EA267C"/>
    <w:rsid w:val="00EA483A"/>
    <w:rsid w:val="00EA5923"/>
    <w:rsid w:val="00EA7952"/>
    <w:rsid w:val="00EB0356"/>
    <w:rsid w:val="00EB5020"/>
    <w:rsid w:val="00EB6459"/>
    <w:rsid w:val="00EB79C0"/>
    <w:rsid w:val="00EB7ABE"/>
    <w:rsid w:val="00EB7BFB"/>
    <w:rsid w:val="00EC4D7C"/>
    <w:rsid w:val="00ED0438"/>
    <w:rsid w:val="00ED2880"/>
    <w:rsid w:val="00ED29B2"/>
    <w:rsid w:val="00ED2E5A"/>
    <w:rsid w:val="00EE0F5E"/>
    <w:rsid w:val="00EE3A98"/>
    <w:rsid w:val="00EE4440"/>
    <w:rsid w:val="00EF0017"/>
    <w:rsid w:val="00EF3BC0"/>
    <w:rsid w:val="00F12824"/>
    <w:rsid w:val="00F12EB2"/>
    <w:rsid w:val="00F17952"/>
    <w:rsid w:val="00F239DB"/>
    <w:rsid w:val="00F261F5"/>
    <w:rsid w:val="00F2755D"/>
    <w:rsid w:val="00F32554"/>
    <w:rsid w:val="00F3702F"/>
    <w:rsid w:val="00F43CC4"/>
    <w:rsid w:val="00F521B1"/>
    <w:rsid w:val="00F57D90"/>
    <w:rsid w:val="00F613C1"/>
    <w:rsid w:val="00F64DA2"/>
    <w:rsid w:val="00F66436"/>
    <w:rsid w:val="00F73E18"/>
    <w:rsid w:val="00F76519"/>
    <w:rsid w:val="00F77633"/>
    <w:rsid w:val="00F80D38"/>
    <w:rsid w:val="00F83648"/>
    <w:rsid w:val="00F86BCF"/>
    <w:rsid w:val="00F90711"/>
    <w:rsid w:val="00F91B01"/>
    <w:rsid w:val="00F97421"/>
    <w:rsid w:val="00F978A0"/>
    <w:rsid w:val="00FA2B4A"/>
    <w:rsid w:val="00FA3A63"/>
    <w:rsid w:val="00FA43ED"/>
    <w:rsid w:val="00FA4EB4"/>
    <w:rsid w:val="00FA7505"/>
    <w:rsid w:val="00FB2678"/>
    <w:rsid w:val="00FB3D30"/>
    <w:rsid w:val="00FB4769"/>
    <w:rsid w:val="00FB541C"/>
    <w:rsid w:val="00FB6438"/>
    <w:rsid w:val="00FC072D"/>
    <w:rsid w:val="00FC0803"/>
    <w:rsid w:val="00FC09FD"/>
    <w:rsid w:val="00FC5435"/>
    <w:rsid w:val="00FD475F"/>
    <w:rsid w:val="00FD5C55"/>
    <w:rsid w:val="00FE0C1D"/>
    <w:rsid w:val="00FE4555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441BD"/>
  <w15:docId w15:val="{B6D2134B-9A7D-4328-A173-6724D215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742"/>
  </w:style>
  <w:style w:type="paragraph" w:styleId="Nadpis3">
    <w:name w:val="heading 3"/>
    <w:basedOn w:val="Normln"/>
    <w:next w:val="Normln"/>
    <w:qFormat/>
    <w:rsid w:val="00E37742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37742"/>
  </w:style>
  <w:style w:type="paragraph" w:customStyle="1" w:styleId="Texttabulky">
    <w:name w:val="Text tabulky"/>
    <w:rsid w:val="00E37742"/>
    <w:rPr>
      <w:color w:val="000000"/>
      <w:sz w:val="24"/>
    </w:rPr>
  </w:style>
  <w:style w:type="paragraph" w:customStyle="1" w:styleId="Nadpissti">
    <w:name w:val="Nadpis části"/>
    <w:basedOn w:val="Normln"/>
    <w:rsid w:val="00E37742"/>
    <w:pPr>
      <w:spacing w:before="40"/>
      <w:jc w:val="center"/>
    </w:pPr>
    <w:rPr>
      <w:b/>
      <w:bCs/>
      <w:sz w:val="22"/>
    </w:rPr>
  </w:style>
  <w:style w:type="paragraph" w:customStyle="1" w:styleId="slovanodstavec">
    <w:name w:val="Číslovaný odstavec"/>
    <w:basedOn w:val="Nadpissti"/>
    <w:next w:val="Nadpissti"/>
    <w:rsid w:val="00E37742"/>
    <w:pPr>
      <w:numPr>
        <w:numId w:val="1"/>
      </w:numPr>
      <w:spacing w:before="20"/>
      <w:jc w:val="both"/>
    </w:pPr>
    <w:rPr>
      <w:b w:val="0"/>
      <w:sz w:val="18"/>
    </w:rPr>
  </w:style>
  <w:style w:type="paragraph" w:styleId="Zkladntext">
    <w:name w:val="Body Text"/>
    <w:aliases w:val="Text_odstavce_čísl"/>
    <w:basedOn w:val="Normln"/>
    <w:rsid w:val="00E37742"/>
    <w:pPr>
      <w:jc w:val="both"/>
    </w:pPr>
    <w:rPr>
      <w:color w:val="000000"/>
    </w:rPr>
  </w:style>
  <w:style w:type="paragraph" w:styleId="Zkladntext3">
    <w:name w:val="Body Text 3"/>
    <w:basedOn w:val="Normln"/>
    <w:link w:val="Zkladntext3Char"/>
    <w:rsid w:val="00E37742"/>
    <w:pPr>
      <w:spacing w:after="120"/>
    </w:pPr>
    <w:rPr>
      <w:sz w:val="16"/>
      <w:szCs w:val="16"/>
    </w:rPr>
  </w:style>
  <w:style w:type="character" w:styleId="slostrnky">
    <w:name w:val="page number"/>
    <w:basedOn w:val="Standardnpsmoodstavce"/>
    <w:rsid w:val="00E37742"/>
  </w:style>
  <w:style w:type="paragraph" w:styleId="Zpat">
    <w:name w:val="footer"/>
    <w:basedOn w:val="Normln"/>
    <w:rsid w:val="00E37742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31">
    <w:name w:val="Základní text 31"/>
    <w:basedOn w:val="Normln"/>
    <w:rsid w:val="00E37742"/>
    <w:pPr>
      <w:spacing w:before="120" w:after="120" w:line="240" w:lineRule="atLeast"/>
      <w:ind w:right="-483"/>
      <w:jc w:val="center"/>
    </w:pPr>
    <w:rPr>
      <w:b/>
      <w:sz w:val="32"/>
    </w:rPr>
  </w:style>
  <w:style w:type="paragraph" w:styleId="Textvbloku">
    <w:name w:val="Block Text"/>
    <w:basedOn w:val="Normln"/>
    <w:rsid w:val="00E37742"/>
    <w:pPr>
      <w:spacing w:before="60" w:line="240" w:lineRule="atLeast"/>
      <w:ind w:left="284" w:right="-1"/>
      <w:jc w:val="both"/>
    </w:pPr>
    <w:rPr>
      <w:sz w:val="18"/>
    </w:rPr>
  </w:style>
  <w:style w:type="paragraph" w:styleId="Zkladntext2">
    <w:name w:val="Body Text 2"/>
    <w:basedOn w:val="Normln"/>
    <w:rsid w:val="00E37742"/>
    <w:pPr>
      <w:spacing w:after="120" w:line="480" w:lineRule="auto"/>
    </w:pPr>
  </w:style>
  <w:style w:type="paragraph" w:customStyle="1" w:styleId="TextodstavceCharChar">
    <w:name w:val="Text odstavce Char Char"/>
    <w:basedOn w:val="Normln"/>
    <w:link w:val="TextodstavceCharCharChar"/>
    <w:rsid w:val="007E2396"/>
    <w:p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 w:val="24"/>
    </w:rPr>
  </w:style>
  <w:style w:type="paragraph" w:styleId="Seznam2">
    <w:name w:val="List 2"/>
    <w:basedOn w:val="Normln"/>
    <w:rsid w:val="00E37742"/>
    <w:pPr>
      <w:ind w:left="566" w:hanging="283"/>
    </w:pPr>
    <w:rPr>
      <w:sz w:val="24"/>
    </w:rPr>
  </w:style>
  <w:style w:type="paragraph" w:styleId="Zkladntextodsazen2">
    <w:name w:val="Body Text Indent 2"/>
    <w:basedOn w:val="Normln"/>
    <w:rsid w:val="00E37742"/>
    <w:pPr>
      <w:spacing w:after="120" w:line="480" w:lineRule="auto"/>
      <w:ind w:left="283"/>
    </w:pPr>
  </w:style>
  <w:style w:type="paragraph" w:styleId="Zhlav">
    <w:name w:val="header"/>
    <w:basedOn w:val="Normln"/>
    <w:rsid w:val="00E37742"/>
    <w:pPr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rsid w:val="00E37742"/>
    <w:pPr>
      <w:numPr>
        <w:ilvl w:val="2"/>
        <w:numId w:val="3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E37742"/>
    <w:pPr>
      <w:numPr>
        <w:ilvl w:val="1"/>
        <w:numId w:val="3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E37742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BodyText21">
    <w:name w:val="Body Text 21"/>
    <w:basedOn w:val="Normln"/>
    <w:rsid w:val="00E37742"/>
    <w:pPr>
      <w:jc w:val="both"/>
    </w:pPr>
    <w:rPr>
      <w:rFonts w:ascii="Arial" w:hAnsi="Arial" w:cs="Arial"/>
      <w:sz w:val="24"/>
      <w:szCs w:val="24"/>
    </w:rPr>
  </w:style>
  <w:style w:type="character" w:customStyle="1" w:styleId="TextodstavceslChar">
    <w:name w:val="Text_odstavce_čísl Char"/>
    <w:aliases w:val="Základní text Char"/>
    <w:rsid w:val="00E37742"/>
    <w:rPr>
      <w:noProof w:val="0"/>
      <w:color w:val="000000"/>
      <w:lang w:val="cs-CZ" w:eastAsia="cs-CZ" w:bidi="ar-SA"/>
    </w:rPr>
  </w:style>
  <w:style w:type="paragraph" w:styleId="Zkladntextodsazen3">
    <w:name w:val="Body Text Indent 3"/>
    <w:basedOn w:val="Normln"/>
    <w:rsid w:val="00E37742"/>
    <w:pPr>
      <w:spacing w:after="120"/>
      <w:ind w:left="283"/>
    </w:pPr>
    <w:rPr>
      <w:sz w:val="16"/>
      <w:szCs w:val="16"/>
    </w:rPr>
  </w:style>
  <w:style w:type="character" w:customStyle="1" w:styleId="TextodstavceChar">
    <w:name w:val="Text odstavce Char"/>
    <w:rsid w:val="00E37742"/>
    <w:rPr>
      <w:noProof w:val="0"/>
      <w:sz w:val="24"/>
      <w:lang w:val="cs-CZ" w:eastAsia="cs-CZ" w:bidi="ar-SA"/>
    </w:rPr>
  </w:style>
  <w:style w:type="character" w:customStyle="1" w:styleId="TextodstavceCharCharChar">
    <w:name w:val="Text odstavce Char Char Char"/>
    <w:link w:val="TextodstavceCharChar"/>
    <w:rsid w:val="007E2396"/>
    <w:rPr>
      <w:sz w:val="24"/>
      <w:lang w:val="cs-CZ" w:eastAsia="cs-CZ" w:bidi="ar-SA"/>
    </w:rPr>
  </w:style>
  <w:style w:type="table" w:styleId="Mkatabulky">
    <w:name w:val="Table Grid"/>
    <w:basedOn w:val="Normlntabulka"/>
    <w:rsid w:val="0007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semiHidden/>
    <w:rsid w:val="00DD38B9"/>
    <w:rPr>
      <w:vertAlign w:val="superscript"/>
    </w:rPr>
  </w:style>
  <w:style w:type="paragraph" w:customStyle="1" w:styleId="CM53">
    <w:name w:val="CM53"/>
    <w:basedOn w:val="Normln"/>
    <w:next w:val="Normln"/>
    <w:rsid w:val="005A699C"/>
    <w:pPr>
      <w:widowControl w:val="0"/>
      <w:autoSpaceDE w:val="0"/>
      <w:autoSpaceDN w:val="0"/>
      <w:adjustRightInd w:val="0"/>
      <w:spacing w:after="243"/>
    </w:pPr>
    <w:rPr>
      <w:rFonts w:ascii="CDDAF N+ Myriad Pro" w:hAnsi="CDDAF N+ Myriad Pro" w:cs="CDDAF N+ Myriad Pro"/>
      <w:sz w:val="24"/>
      <w:szCs w:val="24"/>
    </w:rPr>
  </w:style>
  <w:style w:type="paragraph" w:customStyle="1" w:styleId="CM51">
    <w:name w:val="CM51"/>
    <w:basedOn w:val="Normln"/>
    <w:next w:val="Normln"/>
    <w:rsid w:val="002902B5"/>
    <w:pPr>
      <w:widowControl w:val="0"/>
      <w:autoSpaceDE w:val="0"/>
      <w:autoSpaceDN w:val="0"/>
      <w:adjustRightInd w:val="0"/>
      <w:spacing w:after="528"/>
    </w:pPr>
    <w:rPr>
      <w:rFonts w:ascii="CDDAF N+ Myriad Pro" w:hAnsi="CDDAF N+ Myriad Pro" w:cs="CDDAF N+ Myriad Pro"/>
      <w:sz w:val="24"/>
      <w:szCs w:val="24"/>
    </w:rPr>
  </w:style>
  <w:style w:type="paragraph" w:customStyle="1" w:styleId="CM3">
    <w:name w:val="CM3"/>
    <w:basedOn w:val="Normln"/>
    <w:next w:val="Normln"/>
    <w:rsid w:val="002902B5"/>
    <w:pPr>
      <w:widowControl w:val="0"/>
      <w:autoSpaceDE w:val="0"/>
      <w:autoSpaceDN w:val="0"/>
      <w:adjustRightInd w:val="0"/>
    </w:pPr>
    <w:rPr>
      <w:rFonts w:ascii="CDDAF N+ Myriad Pro" w:hAnsi="CDDAF N+ Myriad Pro" w:cs="CDDAF N+ Myriad Pro"/>
      <w:sz w:val="24"/>
      <w:szCs w:val="24"/>
    </w:rPr>
  </w:style>
  <w:style w:type="paragraph" w:customStyle="1" w:styleId="CM7">
    <w:name w:val="CM7"/>
    <w:basedOn w:val="Normln"/>
    <w:next w:val="Normln"/>
    <w:rsid w:val="00057B13"/>
    <w:pPr>
      <w:widowControl w:val="0"/>
      <w:autoSpaceDE w:val="0"/>
      <w:autoSpaceDN w:val="0"/>
      <w:adjustRightInd w:val="0"/>
      <w:spacing w:line="266" w:lineRule="atLeast"/>
    </w:pPr>
    <w:rPr>
      <w:rFonts w:ascii="CDDAF N+ Myriad Pro" w:hAnsi="CDDAF N+ Myriad Pro" w:cs="CDDAF N+ Myriad Pro"/>
      <w:sz w:val="24"/>
      <w:szCs w:val="24"/>
    </w:rPr>
  </w:style>
  <w:style w:type="paragraph" w:styleId="Textbubliny">
    <w:name w:val="Balloon Text"/>
    <w:basedOn w:val="Normln"/>
    <w:semiHidden/>
    <w:rsid w:val="00CE379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rsid w:val="00FA4EB4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861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2B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2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2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2B1"/>
    <w:rPr>
      <w:b/>
      <w:bCs/>
    </w:rPr>
  </w:style>
  <w:style w:type="paragraph" w:customStyle="1" w:styleId="Zkladntext311">
    <w:name w:val="Základní text 311"/>
    <w:basedOn w:val="Normln"/>
    <w:rsid w:val="00EF3BC0"/>
    <w:pPr>
      <w:suppressAutoHyphens/>
      <w:spacing w:after="120"/>
    </w:pPr>
    <w:rPr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B713B"/>
    <w:pPr>
      <w:ind w:left="708"/>
    </w:pPr>
  </w:style>
  <w:style w:type="paragraph" w:styleId="Revize">
    <w:name w:val="Revision"/>
    <w:hidden/>
    <w:uiPriority w:val="99"/>
    <w:semiHidden/>
    <w:rsid w:val="00997763"/>
  </w:style>
  <w:style w:type="character" w:customStyle="1" w:styleId="Zkladntext3Char">
    <w:name w:val="Základní text 3 Char"/>
    <w:basedOn w:val="Standardnpsmoodstavce"/>
    <w:link w:val="Zkladntext3"/>
    <w:rsid w:val="008D72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75956EDB8AC4DBD0A127F42A56472" ma:contentTypeVersion="2" ma:contentTypeDescription="Vytvoří nový dokument" ma:contentTypeScope="" ma:versionID="f2182f089ece34ef11f42f24d22afe6d">
  <xsd:schema xmlns:xsd="http://www.w3.org/2001/XMLSchema" xmlns:xs="http://www.w3.org/2001/XMLSchema" xmlns:p="http://schemas.microsoft.com/office/2006/metadata/properties" xmlns:ns2="22460258-ac32-4fc9-a781-b325de54994e" targetNamespace="http://schemas.microsoft.com/office/2006/metadata/properties" ma:root="true" ma:fieldsID="b2b90ad543e4e92edcb78cdd70abedaa" ns2:_="">
    <xsd:import namespace="22460258-ac32-4fc9-a781-b325de54994e"/>
    <xsd:element name="properties">
      <xsd:complexType>
        <xsd:sequence>
          <xsd:element name="documentManagement">
            <xsd:complexType>
              <xsd:all>
                <xsd:element ref="ns2:typinf" minOccurs="0"/>
                <xsd:element ref="ns2:Pozna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0258-ac32-4fc9-a781-b325de54994e" elementFormDefault="qualified">
    <xsd:import namespace="http://schemas.microsoft.com/office/2006/documentManagement/types"/>
    <xsd:import namespace="http://schemas.microsoft.com/office/infopath/2007/PartnerControls"/>
    <xsd:element name="typinf" ma:index="8" nillable="true" ma:displayName="Typinf" ma:internalName="typinf" ma:percentage="FALSE">
      <xsd:simpleType>
        <xsd:restriction base="dms:Number"/>
      </xsd:simpleType>
    </xsd:element>
    <xsd:element name="Poznamka" ma:index="9" nillable="true" ma:displayName="Poznámka" ma:internalName="Pozna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amka xmlns="22460258-ac32-4fc9-a781-b325de54994e" xsi:nil="true"/>
    <typinf xmlns="22460258-ac32-4fc9-a781-b325de5499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8674E7-FCBE-4277-8FAE-E382875A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0258-ac32-4fc9-a781-b325de54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3C3A5-D6B3-4B40-8FEE-92955615AF9C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22460258-ac32-4fc9-a781-b325de54994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695732-1D85-423B-9025-1CF2DAC5F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B0092-9864-45D9-BCE7-D397AE53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2699</Words>
  <Characters>16639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ozp</dc:creator>
  <cp:lastModifiedBy>Komorous Michal</cp:lastModifiedBy>
  <cp:revision>9</cp:revision>
  <cp:lastPrinted>2018-01-09T05:11:00Z</cp:lastPrinted>
  <dcterms:created xsi:type="dcterms:W3CDTF">2018-12-05T05:41:00Z</dcterms:created>
  <dcterms:modified xsi:type="dcterms:W3CDTF">2019-01-15T05:12:00Z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0x010100F9975956EDB8AC4DBD0A127F42A56472</vt:lpwstr>
  </property>
</Properties>
</file>